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493" w:rsidRPr="00777493" w:rsidRDefault="00777493" w:rsidP="00777493">
      <w:pPr>
        <w:spacing w:after="0" w:line="240" w:lineRule="auto"/>
        <w:jc w:val="center"/>
        <w:outlineLvl w:val="1"/>
        <w:rPr>
          <w:rFonts w:eastAsia="Times New Roman" w:cstheme="minorHAnsi"/>
          <w:b/>
          <w:bCs/>
          <w:sz w:val="28"/>
          <w:szCs w:val="28"/>
          <w:lang w:eastAsia="hr-BA"/>
        </w:rPr>
      </w:pPr>
      <w:r w:rsidRPr="00777493">
        <w:rPr>
          <w:rFonts w:eastAsia="Times New Roman" w:cstheme="minorHAnsi"/>
          <w:b/>
          <w:bCs/>
          <w:sz w:val="28"/>
          <w:szCs w:val="28"/>
          <w:lang w:eastAsia="hr-BA"/>
        </w:rPr>
        <w:t xml:space="preserve">E L A B O R A T </w:t>
      </w:r>
    </w:p>
    <w:p w:rsidR="005F218B" w:rsidRPr="00E70BF3" w:rsidRDefault="00777493" w:rsidP="00777493">
      <w:pPr>
        <w:spacing w:after="0" w:line="240" w:lineRule="auto"/>
        <w:jc w:val="center"/>
        <w:outlineLvl w:val="1"/>
        <w:rPr>
          <w:rFonts w:eastAsia="Times New Roman" w:cstheme="minorHAnsi"/>
          <w:b/>
          <w:bCs/>
          <w:lang w:eastAsia="hr-BA"/>
        </w:rPr>
      </w:pPr>
      <w:r>
        <w:rPr>
          <w:rFonts w:eastAsia="Times New Roman" w:cstheme="minorHAnsi"/>
          <w:b/>
          <w:bCs/>
          <w:lang w:eastAsia="hr-BA"/>
        </w:rPr>
        <w:t xml:space="preserve"> o emisiji obveznica sa finansijskim projekcijama za period 2025</w:t>
      </w:r>
      <w:r w:rsidR="007A64F4">
        <w:rPr>
          <w:rFonts w:eastAsia="Times New Roman" w:cstheme="minorHAnsi"/>
          <w:b/>
          <w:bCs/>
          <w:lang w:eastAsia="hr-BA"/>
        </w:rPr>
        <w:t>.</w:t>
      </w:r>
      <w:r>
        <w:rPr>
          <w:rFonts w:eastAsia="Times New Roman" w:cstheme="minorHAnsi"/>
          <w:b/>
          <w:bCs/>
          <w:lang w:eastAsia="hr-BA"/>
        </w:rPr>
        <w:t xml:space="preserve"> – 2030</w:t>
      </w:r>
      <w:r w:rsidR="007A64F4">
        <w:rPr>
          <w:rFonts w:eastAsia="Times New Roman" w:cstheme="minorHAnsi"/>
          <w:b/>
          <w:bCs/>
          <w:lang w:eastAsia="hr-BA"/>
        </w:rPr>
        <w:t>.</w:t>
      </w:r>
    </w:p>
    <w:p w:rsidR="005F218B" w:rsidRPr="00E70BF3" w:rsidRDefault="005F218B" w:rsidP="005F218B">
      <w:pPr>
        <w:spacing w:before="100" w:beforeAutospacing="1" w:after="100" w:afterAutospacing="1" w:line="240" w:lineRule="auto"/>
        <w:outlineLvl w:val="2"/>
        <w:rPr>
          <w:rFonts w:eastAsia="Times New Roman" w:cstheme="minorHAnsi"/>
          <w:b/>
          <w:bCs/>
          <w:lang w:eastAsia="hr-BA"/>
        </w:rPr>
      </w:pPr>
      <w:r w:rsidRPr="00E70BF3">
        <w:rPr>
          <w:rFonts w:eastAsia="Times New Roman" w:cstheme="minorHAnsi"/>
          <w:b/>
          <w:bCs/>
          <w:lang w:eastAsia="hr-BA"/>
        </w:rPr>
        <w:t xml:space="preserve">1. Uvod u </w:t>
      </w:r>
      <w:r w:rsidR="007A64F4">
        <w:rPr>
          <w:rFonts w:eastAsia="Times New Roman" w:cstheme="minorHAnsi"/>
          <w:b/>
          <w:bCs/>
          <w:lang w:eastAsia="hr-BA"/>
        </w:rPr>
        <w:t>elaborat</w:t>
      </w:r>
    </w:p>
    <w:p w:rsidR="00777493" w:rsidRDefault="005F218B" w:rsidP="007A64F4">
      <w:pPr>
        <w:spacing w:after="0" w:line="240" w:lineRule="auto"/>
        <w:rPr>
          <w:rFonts w:eastAsia="Times New Roman" w:cstheme="minorHAnsi"/>
          <w:lang w:eastAsia="hr-BA"/>
        </w:rPr>
      </w:pPr>
      <w:r w:rsidRPr="00E70BF3">
        <w:rPr>
          <w:rFonts w:eastAsia="Times New Roman" w:cstheme="minorHAnsi"/>
          <w:b/>
          <w:bCs/>
          <w:lang w:eastAsia="hr-BA"/>
        </w:rPr>
        <w:t>Kompanija</w:t>
      </w:r>
      <w:r w:rsidR="00134D2C">
        <w:rPr>
          <w:rFonts w:eastAsia="Times New Roman" w:cstheme="minorHAnsi"/>
          <w:b/>
          <w:bCs/>
          <w:lang w:eastAsia="hr-BA"/>
        </w:rPr>
        <w:t xml:space="preserve"> / emitent</w:t>
      </w:r>
      <w:r w:rsidRPr="00E70BF3">
        <w:rPr>
          <w:rFonts w:eastAsia="Times New Roman" w:cstheme="minorHAnsi"/>
          <w:b/>
          <w:bCs/>
          <w:lang w:eastAsia="hr-BA"/>
        </w:rPr>
        <w:t>:</w:t>
      </w:r>
      <w:r w:rsidR="00B37B0A">
        <w:rPr>
          <w:rFonts w:eastAsia="Times New Roman" w:cstheme="minorHAnsi"/>
          <w:b/>
          <w:bCs/>
          <w:lang w:eastAsia="hr-BA"/>
        </w:rPr>
        <w:t xml:space="preserve"> </w:t>
      </w:r>
      <w:r w:rsidR="00972EE7" w:rsidRPr="00E70BF3">
        <w:rPr>
          <w:rFonts w:eastAsia="Times New Roman" w:cstheme="minorHAnsi"/>
          <w:lang w:eastAsia="hr-BA"/>
        </w:rPr>
        <w:t>SARAJEVSKA PIVARA d.d. Sarajevo</w:t>
      </w:r>
      <w:r w:rsidRPr="00E70BF3">
        <w:rPr>
          <w:rFonts w:eastAsia="Times New Roman" w:cstheme="minorHAnsi"/>
          <w:lang w:eastAsia="hr-BA"/>
        </w:rPr>
        <w:br/>
      </w:r>
      <w:r w:rsidRPr="00E70BF3">
        <w:rPr>
          <w:rFonts w:eastAsia="Times New Roman" w:cstheme="minorHAnsi"/>
          <w:b/>
          <w:bCs/>
          <w:lang w:eastAsia="hr-BA"/>
        </w:rPr>
        <w:t>Industrija:</w:t>
      </w:r>
      <w:r w:rsidRPr="00E70BF3">
        <w:rPr>
          <w:rFonts w:eastAsia="Times New Roman" w:cstheme="minorHAnsi"/>
          <w:lang w:eastAsia="hr-BA"/>
        </w:rPr>
        <w:t xml:space="preserve"> Proizvodnja piva i osvežavajućih pića</w:t>
      </w:r>
      <w:r w:rsidRPr="00E70BF3">
        <w:rPr>
          <w:rFonts w:eastAsia="Times New Roman" w:cstheme="minorHAnsi"/>
          <w:lang w:eastAsia="hr-BA"/>
        </w:rPr>
        <w:br/>
      </w:r>
      <w:r w:rsidRPr="00E70BF3">
        <w:rPr>
          <w:rFonts w:eastAsia="Times New Roman" w:cstheme="minorHAnsi"/>
          <w:b/>
          <w:bCs/>
          <w:lang w:eastAsia="hr-BA"/>
        </w:rPr>
        <w:t>Period plana:</w:t>
      </w:r>
      <w:r w:rsidRPr="00E70BF3">
        <w:rPr>
          <w:rFonts w:eastAsia="Times New Roman" w:cstheme="minorHAnsi"/>
          <w:lang w:eastAsia="hr-BA"/>
        </w:rPr>
        <w:t xml:space="preserve"> 2025-20</w:t>
      </w:r>
      <w:r w:rsidR="00972EE7" w:rsidRPr="00E70BF3">
        <w:rPr>
          <w:rFonts w:eastAsia="Times New Roman" w:cstheme="minorHAnsi"/>
          <w:lang w:eastAsia="hr-BA"/>
        </w:rPr>
        <w:t>30</w:t>
      </w:r>
    </w:p>
    <w:p w:rsidR="00777493" w:rsidRDefault="00777493" w:rsidP="007A64F4">
      <w:pPr>
        <w:spacing w:after="0" w:line="240" w:lineRule="auto"/>
        <w:rPr>
          <w:rFonts w:eastAsia="Times New Roman" w:cstheme="minorHAnsi"/>
          <w:lang w:eastAsia="hr-BA"/>
        </w:rPr>
      </w:pPr>
      <w:r w:rsidRPr="00777493">
        <w:rPr>
          <w:rFonts w:eastAsia="Times New Roman" w:cstheme="minorHAnsi"/>
          <w:b/>
          <w:lang w:eastAsia="hr-BA"/>
        </w:rPr>
        <w:t>Pravni osnov za izradu eleborata</w:t>
      </w:r>
      <w:r>
        <w:rPr>
          <w:rFonts w:eastAsia="Times New Roman" w:cstheme="minorHAnsi"/>
          <w:lang w:eastAsia="hr-BA"/>
        </w:rPr>
        <w:t>: Odluka Skupštine</w:t>
      </w:r>
    </w:p>
    <w:p w:rsidR="00972EE7" w:rsidRPr="00E70BF3" w:rsidRDefault="00777493" w:rsidP="007A64F4">
      <w:pPr>
        <w:spacing w:after="0" w:line="240" w:lineRule="auto"/>
        <w:rPr>
          <w:rFonts w:eastAsia="Times New Roman" w:cstheme="minorHAnsi"/>
          <w:b/>
          <w:bCs/>
          <w:lang w:eastAsia="hr-BA"/>
        </w:rPr>
      </w:pPr>
      <w:r w:rsidRPr="00777493">
        <w:rPr>
          <w:rFonts w:eastAsia="Times New Roman" w:cstheme="minorHAnsi"/>
          <w:b/>
          <w:lang w:eastAsia="hr-BA"/>
        </w:rPr>
        <w:t>Veza:</w:t>
      </w:r>
      <w:r>
        <w:rPr>
          <w:rFonts w:eastAsia="Times New Roman" w:cstheme="minorHAnsi"/>
          <w:lang w:eastAsia="hr-BA"/>
        </w:rPr>
        <w:t xml:space="preserve"> Prospekt prve emisije obveznica Sarajevske pivare d.d. Sarajevo</w:t>
      </w:r>
      <w:r w:rsidR="005F218B" w:rsidRPr="00E70BF3">
        <w:rPr>
          <w:rFonts w:eastAsia="Times New Roman" w:cstheme="minorHAnsi"/>
          <w:lang w:eastAsia="hr-BA"/>
        </w:rPr>
        <w:br/>
      </w:r>
    </w:p>
    <w:p w:rsidR="00972EE7" w:rsidRPr="00E70BF3" w:rsidRDefault="00972EE7" w:rsidP="00B37B0A">
      <w:pPr>
        <w:spacing w:after="0" w:line="240" w:lineRule="auto"/>
        <w:jc w:val="both"/>
        <w:rPr>
          <w:rFonts w:eastAsia="Times New Roman" w:cstheme="minorHAnsi"/>
          <w:lang w:eastAsia="hr-BA"/>
        </w:rPr>
      </w:pPr>
      <w:r w:rsidRPr="00E70BF3">
        <w:rPr>
          <w:rFonts w:eastAsia="Times New Roman" w:cstheme="minorHAnsi"/>
          <w:b/>
          <w:bCs/>
          <w:lang w:eastAsia="hr-BA"/>
        </w:rPr>
        <w:t>Vizija</w:t>
      </w:r>
      <w:r w:rsidRPr="00E70BF3">
        <w:rPr>
          <w:rFonts w:eastAsia="Times New Roman" w:cstheme="minorHAnsi"/>
          <w:lang w:eastAsia="hr-BA"/>
        </w:rPr>
        <w:t>: Postati lider na tržištu piva i osvježavajućih pića u regiji, s prepoznatljivim brendovima koji zadovoljavaju potrebe modernih potrošača, uz održiv rast, inovacije i odgovornost prema okolišu.</w:t>
      </w:r>
    </w:p>
    <w:p w:rsidR="00777493" w:rsidRPr="00E70BF3" w:rsidRDefault="00972EE7" w:rsidP="00B37B0A">
      <w:p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Misija</w:t>
      </w:r>
      <w:r w:rsidRPr="00E70BF3">
        <w:rPr>
          <w:rFonts w:eastAsia="Times New Roman" w:cstheme="minorHAnsi"/>
          <w:lang w:eastAsia="hr-BA"/>
        </w:rPr>
        <w:t>: Naš cilj je isporučiti vrhunske proizvode našim potrošačima, inovirati u proizvodnji i distribuciji, te osigurati stabilnost i održivi profit.</w:t>
      </w:r>
    </w:p>
    <w:p w:rsidR="005F218B" w:rsidRPr="00E70BF3" w:rsidRDefault="00A00D7B" w:rsidP="00B37B0A">
      <w:pPr>
        <w:spacing w:after="0" w:line="240" w:lineRule="auto"/>
        <w:jc w:val="both"/>
        <w:rPr>
          <w:rFonts w:eastAsia="Times New Roman" w:cstheme="minorHAnsi"/>
          <w:lang w:eastAsia="hr-BA"/>
        </w:rPr>
      </w:pPr>
      <w:r>
        <w:rPr>
          <w:rFonts w:eastAsia="Times New Roman" w:cstheme="minorHAnsi"/>
          <w:lang w:eastAsia="hr-BA"/>
        </w:rPr>
        <w:pict>
          <v:rect id="_x0000_i1025" style="width:0;height:1.5pt" o:hralign="center" o:hrstd="t" o:hr="t" fillcolor="#a0a0a0" stroked="f"/>
        </w:pict>
      </w:r>
    </w:p>
    <w:p w:rsidR="00777493" w:rsidRDefault="005F218B" w:rsidP="00B37B0A">
      <w:pPr>
        <w:spacing w:before="100" w:beforeAutospacing="1" w:after="100" w:afterAutospacing="1" w:line="240" w:lineRule="auto"/>
        <w:jc w:val="both"/>
        <w:outlineLvl w:val="2"/>
        <w:rPr>
          <w:rFonts w:eastAsia="Times New Roman" w:cstheme="minorHAnsi"/>
          <w:b/>
          <w:bCs/>
          <w:lang w:eastAsia="hr-BA"/>
        </w:rPr>
      </w:pPr>
      <w:r w:rsidRPr="00E70BF3">
        <w:rPr>
          <w:rFonts w:eastAsia="Times New Roman" w:cstheme="minorHAnsi"/>
          <w:b/>
          <w:bCs/>
          <w:lang w:eastAsia="hr-BA"/>
        </w:rPr>
        <w:t xml:space="preserve">2. </w:t>
      </w:r>
      <w:r w:rsidR="00777493">
        <w:rPr>
          <w:rFonts w:eastAsia="Times New Roman" w:cstheme="minorHAnsi"/>
          <w:b/>
          <w:bCs/>
          <w:lang w:eastAsia="hr-BA"/>
        </w:rPr>
        <w:t>Razlozi emisije obveznica</w:t>
      </w:r>
    </w:p>
    <w:p w:rsidR="00777493" w:rsidRDefault="00777493" w:rsidP="00B37B0A">
      <w:pPr>
        <w:spacing w:before="100" w:beforeAutospacing="1" w:after="100" w:afterAutospacing="1" w:line="240" w:lineRule="auto"/>
        <w:jc w:val="both"/>
        <w:outlineLvl w:val="2"/>
        <w:rPr>
          <w:rFonts w:eastAsia="Times New Roman" w:cstheme="minorHAnsi"/>
          <w:b/>
          <w:bCs/>
          <w:lang w:eastAsia="hr-BA"/>
        </w:rPr>
      </w:pPr>
      <w:r>
        <w:rPr>
          <w:rFonts w:eastAsia="Times New Roman" w:cstheme="minorHAnsi"/>
          <w:b/>
          <w:bCs/>
          <w:lang w:eastAsia="hr-BA"/>
        </w:rPr>
        <w:t>2.1. Zašto Sarajevska pivara d.d. Sarajevo emituje obveznce</w:t>
      </w:r>
    </w:p>
    <w:p w:rsidR="00777493" w:rsidRPr="001733F8" w:rsidRDefault="00777493" w:rsidP="00B37B0A">
      <w:pPr>
        <w:pStyle w:val="ListParagraph"/>
        <w:numPr>
          <w:ilvl w:val="0"/>
          <w:numId w:val="30"/>
        </w:numPr>
        <w:spacing w:after="0" w:line="240" w:lineRule="auto"/>
        <w:jc w:val="both"/>
        <w:rPr>
          <w:rFonts w:eastAsia="Times New Roman" w:cstheme="minorHAnsi"/>
          <w:lang w:eastAsia="hr-BA"/>
        </w:rPr>
      </w:pPr>
      <w:r w:rsidRPr="001733F8">
        <w:rPr>
          <w:rFonts w:eastAsia="Times New Roman" w:cstheme="minorHAnsi"/>
          <w:bCs/>
          <w:lang w:eastAsia="hr-BA"/>
        </w:rPr>
        <w:t>Restrukturiranje poslovanja</w:t>
      </w:r>
      <w:r w:rsidRPr="001733F8">
        <w:rPr>
          <w:rFonts w:eastAsia="Times New Roman" w:cstheme="minorHAnsi"/>
          <w:lang w:eastAsia="hr-BA"/>
        </w:rPr>
        <w:t>: Smanjenje operativnih troškova i optimizacija poslovnih procesa.</w:t>
      </w:r>
    </w:p>
    <w:p w:rsidR="00777493" w:rsidRPr="001733F8" w:rsidRDefault="00777493" w:rsidP="00B37B0A">
      <w:pPr>
        <w:pStyle w:val="ListParagraph"/>
        <w:numPr>
          <w:ilvl w:val="0"/>
          <w:numId w:val="30"/>
        </w:numPr>
        <w:spacing w:after="0" w:line="240" w:lineRule="auto"/>
        <w:jc w:val="both"/>
        <w:rPr>
          <w:rFonts w:eastAsia="Times New Roman" w:cstheme="minorHAnsi"/>
          <w:lang w:eastAsia="hr-BA"/>
        </w:rPr>
      </w:pPr>
      <w:r w:rsidRPr="001733F8">
        <w:rPr>
          <w:rFonts w:eastAsia="Times New Roman" w:cstheme="minorHAnsi"/>
          <w:bCs/>
          <w:lang w:eastAsia="hr-BA"/>
        </w:rPr>
        <w:t>Tehnološke inovacije</w:t>
      </w:r>
      <w:r w:rsidRPr="001733F8">
        <w:rPr>
          <w:rFonts w:eastAsia="Times New Roman" w:cstheme="minorHAnsi"/>
          <w:lang w:eastAsia="hr-BA"/>
        </w:rPr>
        <w:t>: Investiranje u modernizaciju proizvodnih linija i digitalizaciju.</w:t>
      </w:r>
    </w:p>
    <w:p w:rsidR="00777493" w:rsidRPr="001733F8" w:rsidRDefault="00777493" w:rsidP="00B37B0A">
      <w:pPr>
        <w:pStyle w:val="ListParagraph"/>
        <w:numPr>
          <w:ilvl w:val="0"/>
          <w:numId w:val="30"/>
        </w:numPr>
        <w:spacing w:after="0" w:line="240" w:lineRule="auto"/>
        <w:jc w:val="both"/>
        <w:rPr>
          <w:rFonts w:eastAsia="Times New Roman" w:cstheme="minorHAnsi"/>
          <w:lang w:eastAsia="hr-BA"/>
        </w:rPr>
      </w:pPr>
      <w:r w:rsidRPr="001733F8">
        <w:rPr>
          <w:rFonts w:eastAsia="Times New Roman" w:cstheme="minorHAnsi"/>
          <w:bCs/>
          <w:lang w:eastAsia="hr-BA"/>
        </w:rPr>
        <w:t>Proširenje tržišta</w:t>
      </w:r>
      <w:r w:rsidRPr="001733F8">
        <w:rPr>
          <w:rFonts w:eastAsia="Times New Roman" w:cstheme="minorHAnsi"/>
          <w:lang w:eastAsia="hr-BA"/>
        </w:rPr>
        <w:t>: Širenje tržišta, razvoj novih distributivnih kanala i jačanje marketinške pozicije.</w:t>
      </w:r>
    </w:p>
    <w:p w:rsidR="00777493" w:rsidRPr="001733F8" w:rsidRDefault="00777493" w:rsidP="00B37B0A">
      <w:pPr>
        <w:pStyle w:val="ListParagraph"/>
        <w:numPr>
          <w:ilvl w:val="0"/>
          <w:numId w:val="30"/>
        </w:numPr>
        <w:spacing w:after="0"/>
        <w:jc w:val="both"/>
        <w:rPr>
          <w:rFonts w:cstheme="minorHAnsi"/>
          <w:lang w:val="bs-Latn-BA"/>
        </w:rPr>
      </w:pPr>
      <w:r w:rsidRPr="001733F8">
        <w:rPr>
          <w:rFonts w:eastAsia="Times New Roman" w:cstheme="minorHAnsi"/>
          <w:bCs/>
          <w:lang w:eastAsia="hr-BA"/>
        </w:rPr>
        <w:t>Održavanje likvidnosti</w:t>
      </w:r>
      <w:r w:rsidRPr="001733F8">
        <w:rPr>
          <w:rFonts w:eastAsia="Times New Roman" w:cstheme="minorHAnsi"/>
          <w:lang w:eastAsia="hr-BA"/>
        </w:rPr>
        <w:t>: Održavanje stabilne likvidnosti za nesmetano poslovanje</w:t>
      </w:r>
      <w:r>
        <w:rPr>
          <w:rFonts w:eastAsia="Times New Roman" w:cstheme="minorHAnsi"/>
          <w:lang w:eastAsia="hr-BA"/>
        </w:rPr>
        <w:t>.</w:t>
      </w:r>
    </w:p>
    <w:p w:rsidR="00777493" w:rsidRDefault="00777493" w:rsidP="00B37B0A">
      <w:pPr>
        <w:spacing w:before="100" w:beforeAutospacing="1" w:after="100" w:afterAutospacing="1" w:line="240" w:lineRule="auto"/>
        <w:jc w:val="both"/>
        <w:outlineLvl w:val="2"/>
        <w:rPr>
          <w:rFonts w:eastAsia="Times New Roman" w:cstheme="minorHAnsi"/>
          <w:b/>
          <w:bCs/>
          <w:lang w:eastAsia="hr-BA"/>
        </w:rPr>
      </w:pPr>
      <w:r>
        <w:rPr>
          <w:rFonts w:eastAsia="Times New Roman" w:cstheme="minorHAnsi"/>
          <w:b/>
          <w:bCs/>
          <w:lang w:eastAsia="hr-BA"/>
        </w:rPr>
        <w:t>2.2. Potreba za dugooročnim izvorom finansiranja</w:t>
      </w:r>
    </w:p>
    <w:p w:rsidR="00777493" w:rsidRPr="00777493" w:rsidRDefault="00777493" w:rsidP="00B37B0A">
      <w:pPr>
        <w:spacing w:before="100" w:beforeAutospacing="1" w:after="100" w:afterAutospacing="1" w:line="240" w:lineRule="auto"/>
        <w:jc w:val="both"/>
        <w:rPr>
          <w:rFonts w:eastAsia="Times New Roman" w:cstheme="minorHAnsi"/>
          <w:lang w:eastAsia="hr-BA"/>
        </w:rPr>
      </w:pPr>
      <w:r w:rsidRPr="00B37B0A">
        <w:rPr>
          <w:rFonts w:eastAsia="Times New Roman" w:cstheme="minorHAnsi"/>
          <w:lang w:eastAsia="hr-BA"/>
        </w:rPr>
        <w:t>Sarajevska pivara d.d. Sarajevo prepoznaje potrebu za osiguranjem stabilnog i održivog izvora finansiranja kako bi podržala dalji razvoj i modernizaciju poslovanja, te osigurala finansijsku fleksibilnost u srednjoročnom i dugoročnom periodu</w:t>
      </w:r>
      <w:r w:rsidRPr="00777493">
        <w:rPr>
          <w:rFonts w:eastAsia="Times New Roman" w:cstheme="minorHAnsi"/>
          <w:lang w:eastAsia="hr-BA"/>
        </w:rPr>
        <w:t>.</w:t>
      </w:r>
    </w:p>
    <w:p w:rsidR="00777493" w:rsidRPr="00777493" w:rsidRDefault="00777493" w:rsidP="00B37B0A">
      <w:pPr>
        <w:spacing w:before="100" w:beforeAutospacing="1" w:after="100" w:afterAutospacing="1" w:line="240" w:lineRule="auto"/>
        <w:jc w:val="both"/>
        <w:rPr>
          <w:rFonts w:eastAsia="Times New Roman" w:cstheme="minorHAnsi"/>
          <w:lang w:eastAsia="hr-BA"/>
        </w:rPr>
      </w:pPr>
      <w:r w:rsidRPr="00777493">
        <w:rPr>
          <w:rFonts w:eastAsia="Times New Roman" w:cstheme="minorHAnsi"/>
          <w:lang w:eastAsia="hr-BA"/>
        </w:rPr>
        <w:t>Finansiranje putem emisije obveznica omogućava Društvu:</w:t>
      </w:r>
    </w:p>
    <w:p w:rsidR="00777493" w:rsidRPr="00777493" w:rsidRDefault="00777493" w:rsidP="00B37B0A">
      <w:pPr>
        <w:numPr>
          <w:ilvl w:val="0"/>
          <w:numId w:val="28"/>
        </w:numPr>
        <w:spacing w:before="100" w:beforeAutospacing="1" w:after="100" w:afterAutospacing="1" w:line="240" w:lineRule="auto"/>
        <w:jc w:val="both"/>
        <w:rPr>
          <w:rFonts w:eastAsia="Times New Roman" w:cstheme="minorHAnsi"/>
          <w:lang w:eastAsia="hr-BA"/>
        </w:rPr>
      </w:pPr>
      <w:r w:rsidRPr="00777493">
        <w:rPr>
          <w:rFonts w:eastAsia="Times New Roman" w:cstheme="minorHAnsi"/>
          <w:b/>
          <w:bCs/>
          <w:lang w:eastAsia="hr-BA"/>
        </w:rPr>
        <w:t>Diverzifikaciju izvora kapitala</w:t>
      </w:r>
      <w:r w:rsidRPr="00777493">
        <w:rPr>
          <w:rFonts w:eastAsia="Times New Roman" w:cstheme="minorHAnsi"/>
          <w:lang w:eastAsia="hr-BA"/>
        </w:rPr>
        <w:t xml:space="preserve"> – Smanjenje oslanjanja isključivo na kratkoročne kreditne linije i bankarske izvore finansiranja;</w:t>
      </w:r>
    </w:p>
    <w:p w:rsidR="00777493" w:rsidRPr="00777493" w:rsidRDefault="00777493" w:rsidP="00B37B0A">
      <w:pPr>
        <w:numPr>
          <w:ilvl w:val="0"/>
          <w:numId w:val="28"/>
        </w:numPr>
        <w:spacing w:before="100" w:beforeAutospacing="1" w:after="100" w:afterAutospacing="1" w:line="240" w:lineRule="auto"/>
        <w:jc w:val="both"/>
        <w:rPr>
          <w:rFonts w:eastAsia="Times New Roman" w:cstheme="minorHAnsi"/>
          <w:lang w:eastAsia="hr-BA"/>
        </w:rPr>
      </w:pPr>
      <w:r w:rsidRPr="00777493">
        <w:rPr>
          <w:rFonts w:eastAsia="Times New Roman" w:cstheme="minorHAnsi"/>
          <w:b/>
          <w:bCs/>
          <w:lang w:eastAsia="hr-BA"/>
        </w:rPr>
        <w:t>Stabilnost likvidnosti</w:t>
      </w:r>
      <w:r w:rsidRPr="00777493">
        <w:rPr>
          <w:rFonts w:eastAsia="Times New Roman" w:cstheme="minorHAnsi"/>
          <w:lang w:eastAsia="hr-BA"/>
        </w:rPr>
        <w:t xml:space="preserve"> – Obveznice kao dugoročni instrumenti omogućavaju planiranje gotovinskih tokova bez čestih refinansiranja;</w:t>
      </w:r>
    </w:p>
    <w:p w:rsidR="00777493" w:rsidRPr="00777493" w:rsidRDefault="00777493" w:rsidP="00B37B0A">
      <w:pPr>
        <w:numPr>
          <w:ilvl w:val="0"/>
          <w:numId w:val="28"/>
        </w:numPr>
        <w:spacing w:before="100" w:beforeAutospacing="1" w:after="100" w:afterAutospacing="1" w:line="240" w:lineRule="auto"/>
        <w:jc w:val="both"/>
        <w:rPr>
          <w:rFonts w:eastAsia="Times New Roman" w:cstheme="minorHAnsi"/>
          <w:lang w:eastAsia="hr-BA"/>
        </w:rPr>
      </w:pPr>
      <w:r w:rsidRPr="00777493">
        <w:rPr>
          <w:rFonts w:eastAsia="Times New Roman" w:cstheme="minorHAnsi"/>
          <w:b/>
          <w:bCs/>
          <w:lang w:eastAsia="hr-BA"/>
        </w:rPr>
        <w:t>Finansiranje investicija</w:t>
      </w:r>
      <w:r w:rsidRPr="00777493">
        <w:rPr>
          <w:rFonts w:eastAsia="Times New Roman" w:cstheme="minorHAnsi"/>
          <w:lang w:eastAsia="hr-BA"/>
        </w:rPr>
        <w:t xml:space="preserve"> – Sredstva prikupljena emisijom obveznica bit će usmjerena u strateški važne segmente poslovanja, uključujući modernizaciju proizvodnih kapaciteta, energetski efikasnija rješenja, digitalizaciju poslovanja i optimizaciju distribucije;</w:t>
      </w:r>
    </w:p>
    <w:p w:rsidR="00777493" w:rsidRPr="00777493" w:rsidRDefault="00777493" w:rsidP="00B37B0A">
      <w:pPr>
        <w:numPr>
          <w:ilvl w:val="0"/>
          <w:numId w:val="28"/>
        </w:numPr>
        <w:spacing w:before="100" w:beforeAutospacing="1" w:after="100" w:afterAutospacing="1" w:line="240" w:lineRule="auto"/>
        <w:jc w:val="both"/>
        <w:rPr>
          <w:rFonts w:eastAsia="Times New Roman" w:cstheme="minorHAnsi"/>
          <w:lang w:eastAsia="hr-BA"/>
        </w:rPr>
      </w:pPr>
      <w:r w:rsidRPr="00777493">
        <w:rPr>
          <w:rFonts w:eastAsia="Times New Roman" w:cstheme="minorHAnsi"/>
          <w:b/>
          <w:bCs/>
          <w:lang w:eastAsia="hr-BA"/>
        </w:rPr>
        <w:t>Povoljniji uslovi finansiranja</w:t>
      </w:r>
      <w:r w:rsidRPr="00777493">
        <w:rPr>
          <w:rFonts w:eastAsia="Times New Roman" w:cstheme="minorHAnsi"/>
          <w:lang w:eastAsia="hr-BA"/>
        </w:rPr>
        <w:t xml:space="preserve"> – U odnosu na kratkoročne kredite, obveznice nude veću fleksibilnost u strukturi otplate i potencijalno niže troškove zaduživanja;</w:t>
      </w:r>
    </w:p>
    <w:p w:rsidR="00777493" w:rsidRPr="00777493" w:rsidRDefault="00777493" w:rsidP="00B37B0A">
      <w:pPr>
        <w:numPr>
          <w:ilvl w:val="0"/>
          <w:numId w:val="28"/>
        </w:numPr>
        <w:spacing w:before="100" w:beforeAutospacing="1" w:after="100" w:afterAutospacing="1" w:line="240" w:lineRule="auto"/>
        <w:jc w:val="both"/>
        <w:rPr>
          <w:rFonts w:eastAsia="Times New Roman" w:cstheme="minorHAnsi"/>
          <w:lang w:eastAsia="hr-BA"/>
        </w:rPr>
      </w:pPr>
      <w:r w:rsidRPr="00777493">
        <w:rPr>
          <w:rFonts w:eastAsia="Times New Roman" w:cstheme="minorHAnsi"/>
          <w:b/>
          <w:bCs/>
          <w:lang w:eastAsia="hr-BA"/>
        </w:rPr>
        <w:t>Jačanje tržišnog položaja</w:t>
      </w:r>
      <w:r w:rsidRPr="00777493">
        <w:rPr>
          <w:rFonts w:eastAsia="Times New Roman" w:cstheme="minorHAnsi"/>
          <w:lang w:eastAsia="hr-BA"/>
        </w:rPr>
        <w:t xml:space="preserve"> – Emisijom obveznica kroz javnu ponudu, </w:t>
      </w:r>
      <w:r w:rsidR="00134D2C">
        <w:rPr>
          <w:rFonts w:eastAsia="Times New Roman" w:cstheme="minorHAnsi"/>
          <w:lang w:eastAsia="hr-BA"/>
        </w:rPr>
        <w:t>Sarajevska pivara d.d. Sarajevo</w:t>
      </w:r>
      <w:r w:rsidRPr="00777493">
        <w:rPr>
          <w:rFonts w:eastAsia="Times New Roman" w:cstheme="minorHAnsi"/>
          <w:lang w:eastAsia="hr-BA"/>
        </w:rPr>
        <w:t xml:space="preserve"> jača transparentnost i reputaciju na tržištu kapitala, čime dodatno gradi povjerenje investitora i poslovnih partnera.</w:t>
      </w:r>
    </w:p>
    <w:p w:rsidR="00777493" w:rsidRPr="00777493" w:rsidRDefault="00777493" w:rsidP="00B37B0A">
      <w:pPr>
        <w:spacing w:before="100" w:beforeAutospacing="1" w:after="100" w:afterAutospacing="1" w:line="240" w:lineRule="auto"/>
        <w:jc w:val="both"/>
        <w:rPr>
          <w:rFonts w:eastAsia="Times New Roman" w:cstheme="minorHAnsi"/>
          <w:lang w:eastAsia="hr-BA"/>
        </w:rPr>
      </w:pPr>
      <w:r w:rsidRPr="00777493">
        <w:rPr>
          <w:rFonts w:eastAsia="Times New Roman" w:cstheme="minorHAnsi"/>
          <w:lang w:eastAsia="hr-BA"/>
        </w:rPr>
        <w:lastRenderedPageBreak/>
        <w:t>Zaključno, dugoročni izvori finansiranja ključni su za osiguranje stabilnog poslovnog rasta, povećanje konkurentnosti i dugoročnu održivost poslovanja Sarajevske pivare d.d. Sarajevo.</w:t>
      </w:r>
    </w:p>
    <w:p w:rsidR="00777493" w:rsidRDefault="00777493" w:rsidP="00B37B0A">
      <w:pPr>
        <w:spacing w:before="100" w:beforeAutospacing="1" w:after="100" w:afterAutospacing="1" w:line="240" w:lineRule="auto"/>
        <w:jc w:val="both"/>
        <w:outlineLvl w:val="2"/>
        <w:rPr>
          <w:rFonts w:eastAsia="Times New Roman" w:cstheme="minorHAnsi"/>
          <w:b/>
          <w:bCs/>
          <w:lang w:eastAsia="hr-BA"/>
        </w:rPr>
      </w:pPr>
      <w:r>
        <w:rPr>
          <w:rFonts w:eastAsia="Times New Roman" w:cstheme="minorHAnsi"/>
          <w:b/>
          <w:bCs/>
          <w:lang w:eastAsia="hr-BA"/>
        </w:rPr>
        <w:t>2.3. Uporedna analiza opcija</w:t>
      </w:r>
    </w:p>
    <w:tbl>
      <w:tblPr>
        <w:tblW w:w="0" w:type="auto"/>
        <w:tblCellSpacing w:w="15" w:type="dxa"/>
        <w:tblBorders>
          <w:top w:val="double" w:sz="4" w:space="0" w:color="auto"/>
          <w:left w:val="double" w:sz="4" w:space="0" w:color="auto"/>
          <w:bottom w:val="double" w:sz="4" w:space="0" w:color="auto"/>
          <w:right w:val="double" w:sz="4" w:space="0" w:color="auto"/>
        </w:tblBorders>
        <w:tblCellMar>
          <w:top w:w="15" w:type="dxa"/>
          <w:left w:w="15" w:type="dxa"/>
          <w:bottom w:w="15" w:type="dxa"/>
          <w:right w:w="15" w:type="dxa"/>
        </w:tblCellMar>
        <w:tblLook w:val="04A0" w:firstRow="1" w:lastRow="0" w:firstColumn="1" w:lastColumn="0" w:noHBand="0" w:noVBand="1"/>
      </w:tblPr>
      <w:tblGrid>
        <w:gridCol w:w="1729"/>
        <w:gridCol w:w="1386"/>
        <w:gridCol w:w="2155"/>
        <w:gridCol w:w="1696"/>
        <w:gridCol w:w="2030"/>
      </w:tblGrid>
      <w:tr w:rsidR="00723BB8" w:rsidRPr="00AC3413" w:rsidTr="00B37B0A">
        <w:trPr>
          <w:tblHeader/>
          <w:tblCellSpacing w:w="15" w:type="dxa"/>
        </w:trPr>
        <w:tc>
          <w:tcPr>
            <w:tcW w:w="0" w:type="auto"/>
            <w:shd w:val="clear" w:color="auto" w:fill="D9D9D9" w:themeFill="background1" w:themeFillShade="D9"/>
            <w:vAlign w:val="center"/>
            <w:hideMark/>
          </w:tcPr>
          <w:p w:rsidR="00723BB8" w:rsidRPr="00B37B0A" w:rsidRDefault="00723BB8" w:rsidP="00435631">
            <w:pPr>
              <w:spacing w:after="0" w:line="240" w:lineRule="auto"/>
              <w:jc w:val="center"/>
              <w:rPr>
                <w:rFonts w:eastAsia="Times New Roman" w:cstheme="minorHAnsi"/>
                <w:b/>
                <w:bCs/>
                <w:sz w:val="20"/>
                <w:szCs w:val="20"/>
                <w:lang w:eastAsia="hr-BA"/>
              </w:rPr>
            </w:pPr>
            <w:r w:rsidRPr="00B37B0A">
              <w:rPr>
                <w:rFonts w:eastAsia="Times New Roman" w:cstheme="minorHAnsi"/>
                <w:b/>
                <w:bCs/>
                <w:sz w:val="20"/>
                <w:szCs w:val="20"/>
                <w:lang w:eastAsia="hr-BA"/>
              </w:rPr>
              <w:t>Kriterij / Instrument</w:t>
            </w:r>
          </w:p>
        </w:tc>
        <w:tc>
          <w:tcPr>
            <w:tcW w:w="0" w:type="auto"/>
            <w:shd w:val="clear" w:color="auto" w:fill="D9D9D9" w:themeFill="background1" w:themeFillShade="D9"/>
            <w:vAlign w:val="center"/>
            <w:hideMark/>
          </w:tcPr>
          <w:p w:rsidR="00723BB8" w:rsidRPr="00B37B0A" w:rsidRDefault="00723BB8" w:rsidP="00435631">
            <w:pPr>
              <w:spacing w:after="0" w:line="240" w:lineRule="auto"/>
              <w:jc w:val="center"/>
              <w:rPr>
                <w:rFonts w:eastAsia="Times New Roman" w:cstheme="minorHAnsi"/>
                <w:b/>
                <w:bCs/>
                <w:sz w:val="20"/>
                <w:szCs w:val="20"/>
                <w:lang w:eastAsia="hr-BA"/>
              </w:rPr>
            </w:pPr>
            <w:r w:rsidRPr="00B37B0A">
              <w:rPr>
                <w:rFonts w:eastAsia="Times New Roman" w:cstheme="minorHAnsi"/>
                <w:b/>
                <w:bCs/>
                <w:sz w:val="20"/>
                <w:szCs w:val="20"/>
                <w:lang w:eastAsia="hr-BA"/>
              </w:rPr>
              <w:t>Kredit</w:t>
            </w:r>
          </w:p>
        </w:tc>
        <w:tc>
          <w:tcPr>
            <w:tcW w:w="0" w:type="auto"/>
            <w:shd w:val="clear" w:color="auto" w:fill="D9D9D9" w:themeFill="background1" w:themeFillShade="D9"/>
            <w:vAlign w:val="center"/>
            <w:hideMark/>
          </w:tcPr>
          <w:p w:rsidR="00723BB8" w:rsidRPr="00B37B0A" w:rsidRDefault="00723BB8" w:rsidP="00435631">
            <w:pPr>
              <w:spacing w:after="0" w:line="240" w:lineRule="auto"/>
              <w:jc w:val="center"/>
              <w:rPr>
                <w:rFonts w:eastAsia="Times New Roman" w:cstheme="minorHAnsi"/>
                <w:b/>
                <w:bCs/>
                <w:sz w:val="20"/>
                <w:szCs w:val="20"/>
                <w:lang w:eastAsia="hr-BA"/>
              </w:rPr>
            </w:pPr>
            <w:r w:rsidRPr="00B37B0A">
              <w:rPr>
                <w:rFonts w:eastAsia="Times New Roman" w:cstheme="minorHAnsi"/>
                <w:b/>
                <w:bCs/>
                <w:sz w:val="20"/>
                <w:szCs w:val="20"/>
                <w:lang w:eastAsia="hr-BA"/>
              </w:rPr>
              <w:t>Emisija dionica</w:t>
            </w:r>
          </w:p>
        </w:tc>
        <w:tc>
          <w:tcPr>
            <w:tcW w:w="0" w:type="auto"/>
            <w:shd w:val="clear" w:color="auto" w:fill="D9D9D9" w:themeFill="background1" w:themeFillShade="D9"/>
            <w:vAlign w:val="center"/>
            <w:hideMark/>
          </w:tcPr>
          <w:p w:rsidR="00723BB8" w:rsidRPr="00B37B0A" w:rsidRDefault="00723BB8" w:rsidP="00435631">
            <w:pPr>
              <w:spacing w:after="0" w:line="240" w:lineRule="auto"/>
              <w:jc w:val="center"/>
              <w:rPr>
                <w:rFonts w:eastAsia="Times New Roman" w:cstheme="minorHAnsi"/>
                <w:b/>
                <w:bCs/>
                <w:sz w:val="20"/>
                <w:szCs w:val="20"/>
                <w:lang w:eastAsia="hr-BA"/>
              </w:rPr>
            </w:pPr>
            <w:r w:rsidRPr="00B37B0A">
              <w:rPr>
                <w:rFonts w:eastAsia="Times New Roman" w:cstheme="minorHAnsi"/>
                <w:b/>
                <w:bCs/>
                <w:sz w:val="20"/>
                <w:szCs w:val="20"/>
                <w:lang w:eastAsia="hr-BA"/>
              </w:rPr>
              <w:t>Finansijski lizing</w:t>
            </w:r>
          </w:p>
        </w:tc>
        <w:tc>
          <w:tcPr>
            <w:tcW w:w="0" w:type="auto"/>
            <w:shd w:val="clear" w:color="auto" w:fill="D9D9D9" w:themeFill="background1" w:themeFillShade="D9"/>
            <w:vAlign w:val="center"/>
            <w:hideMark/>
          </w:tcPr>
          <w:p w:rsidR="00723BB8" w:rsidRPr="00B37B0A" w:rsidRDefault="00723BB8" w:rsidP="00435631">
            <w:pPr>
              <w:spacing w:after="0" w:line="240" w:lineRule="auto"/>
              <w:jc w:val="center"/>
              <w:rPr>
                <w:rFonts w:eastAsia="Times New Roman" w:cstheme="minorHAnsi"/>
                <w:b/>
                <w:bCs/>
                <w:sz w:val="20"/>
                <w:szCs w:val="20"/>
                <w:lang w:eastAsia="hr-BA"/>
              </w:rPr>
            </w:pPr>
            <w:r w:rsidRPr="00B37B0A">
              <w:rPr>
                <w:rFonts w:eastAsia="Times New Roman" w:cstheme="minorHAnsi"/>
                <w:b/>
                <w:bCs/>
                <w:sz w:val="20"/>
                <w:szCs w:val="20"/>
                <w:lang w:eastAsia="hr-BA"/>
              </w:rPr>
              <w:t>Obveznice</w:t>
            </w:r>
          </w:p>
        </w:tc>
      </w:tr>
      <w:tr w:rsidR="00723BB8" w:rsidRPr="00AC3413" w:rsidTr="00B37B0A">
        <w:trPr>
          <w:tblCellSpacing w:w="15" w:type="dxa"/>
        </w:trPr>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b/>
                <w:bCs/>
                <w:sz w:val="20"/>
                <w:szCs w:val="20"/>
                <w:lang w:eastAsia="hr-BA"/>
              </w:rPr>
              <w:t>Vlasnička struktura</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Ne mijenja se</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Razvodnjava vlasništvo</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Ne mijenja se</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Ne mijenja se</w:t>
            </w:r>
          </w:p>
        </w:tc>
      </w:tr>
      <w:tr w:rsidR="00723BB8" w:rsidRPr="00AC3413" w:rsidTr="00B37B0A">
        <w:trPr>
          <w:tblCellSpacing w:w="15" w:type="dxa"/>
        </w:trPr>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b/>
                <w:bCs/>
                <w:sz w:val="20"/>
                <w:szCs w:val="20"/>
                <w:lang w:eastAsia="hr-BA"/>
              </w:rPr>
              <w:t>Učinak na zaduženost</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Povećava zaduženost</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Ne utiče direktno</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Povećava zaduženost (zavisno o tretmanu)</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Povećava zaduženost</w:t>
            </w:r>
          </w:p>
        </w:tc>
      </w:tr>
      <w:tr w:rsidR="00723BB8" w:rsidRPr="00AC3413" w:rsidTr="00B37B0A">
        <w:trPr>
          <w:tblCellSpacing w:w="15" w:type="dxa"/>
        </w:trPr>
        <w:tc>
          <w:tcPr>
            <w:tcW w:w="0" w:type="auto"/>
            <w:vAlign w:val="center"/>
            <w:hideMark/>
          </w:tcPr>
          <w:p w:rsidR="00723BB8" w:rsidRPr="00B37B0A" w:rsidRDefault="00B37B0A" w:rsidP="00723BB8">
            <w:pPr>
              <w:spacing w:after="0" w:line="240" w:lineRule="auto"/>
              <w:jc w:val="center"/>
              <w:rPr>
                <w:rFonts w:eastAsia="Times New Roman" w:cstheme="minorHAnsi"/>
                <w:sz w:val="20"/>
                <w:szCs w:val="20"/>
                <w:lang w:eastAsia="hr-BA"/>
              </w:rPr>
            </w:pPr>
            <w:r>
              <w:rPr>
                <w:rFonts w:eastAsia="Times New Roman" w:cstheme="minorHAnsi"/>
                <w:b/>
                <w:bCs/>
                <w:sz w:val="20"/>
                <w:szCs w:val="20"/>
                <w:lang w:eastAsia="hr-BA"/>
              </w:rPr>
              <w:t>5</w:t>
            </w:r>
            <w:r w:rsidR="00723BB8" w:rsidRPr="00B37B0A">
              <w:rPr>
                <w:rFonts w:eastAsia="Times New Roman" w:cstheme="minorHAnsi"/>
                <w:b/>
                <w:bCs/>
                <w:sz w:val="20"/>
                <w:szCs w:val="20"/>
                <w:lang w:eastAsia="hr-BA"/>
              </w:rPr>
              <w:t>Otplate / pritisak na cash flow</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Rata kredita + kamata</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Nema otplata, ali se očekuju dividende</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Redovne rate (amortizacija + kamata)</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Isplata kamate (kupona) i glavnice po dospijeću</w:t>
            </w:r>
          </w:p>
        </w:tc>
      </w:tr>
      <w:tr w:rsidR="00723BB8" w:rsidRPr="00AC3413" w:rsidTr="00B37B0A">
        <w:trPr>
          <w:tblCellSpacing w:w="15" w:type="dxa"/>
        </w:trPr>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b/>
                <w:bCs/>
                <w:sz w:val="20"/>
                <w:szCs w:val="20"/>
                <w:lang w:eastAsia="hr-BA"/>
              </w:rPr>
              <w:t>Trošak kapitala</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Varira (ugovoreni interes)</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Visok (izgubljena dobit po osnovu udjela)</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U zavisnosti od uslova lizinga</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Uglavnom niži od dioničkog kapitala</w:t>
            </w:r>
          </w:p>
        </w:tc>
      </w:tr>
      <w:tr w:rsidR="00723BB8" w:rsidRPr="00AC3413" w:rsidTr="00B37B0A">
        <w:trPr>
          <w:tblCellSpacing w:w="15" w:type="dxa"/>
        </w:trPr>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b/>
                <w:bCs/>
                <w:sz w:val="20"/>
                <w:szCs w:val="20"/>
                <w:lang w:eastAsia="hr-BA"/>
              </w:rPr>
              <w:t>Rok finansiranja</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Srednji do dugoročni (3–</w:t>
            </w:r>
            <w:r w:rsidR="00B37B0A">
              <w:rPr>
                <w:rFonts w:eastAsia="Times New Roman" w:cstheme="minorHAnsi"/>
                <w:sz w:val="20"/>
                <w:szCs w:val="20"/>
                <w:lang w:eastAsia="hr-BA"/>
              </w:rPr>
              <w:t>5</w:t>
            </w:r>
            <w:r w:rsidRPr="00B37B0A">
              <w:rPr>
                <w:rFonts w:eastAsia="Times New Roman" w:cstheme="minorHAnsi"/>
                <w:sz w:val="20"/>
                <w:szCs w:val="20"/>
                <w:lang w:eastAsia="hr-BA"/>
              </w:rPr>
              <w:t xml:space="preserve"> god.)</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Trajan kapital</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Srednji rok (do 7 god.)</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Dugoročni (npr. 5–10 godina)</w:t>
            </w:r>
          </w:p>
        </w:tc>
      </w:tr>
      <w:tr w:rsidR="00723BB8" w:rsidRPr="00AC3413" w:rsidTr="00B37B0A">
        <w:trPr>
          <w:tblCellSpacing w:w="15" w:type="dxa"/>
        </w:trPr>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b/>
                <w:bCs/>
                <w:sz w:val="20"/>
                <w:szCs w:val="20"/>
                <w:lang w:eastAsia="hr-BA"/>
              </w:rPr>
              <w:t>Fleksibilnost</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Ograničena (uslovi)</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Visoka (nema fiksne obaveze otplate)</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Ograničena (vezano za predmet lizinga)</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Srednja (fiksne isplate, ali širi investitor bazen)</w:t>
            </w:r>
          </w:p>
        </w:tc>
      </w:tr>
      <w:tr w:rsidR="00723BB8" w:rsidRPr="00AC3413" w:rsidTr="00B37B0A">
        <w:trPr>
          <w:tblCellSpacing w:w="15" w:type="dxa"/>
        </w:trPr>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b/>
                <w:bCs/>
                <w:sz w:val="20"/>
                <w:szCs w:val="20"/>
                <w:lang w:eastAsia="hr-BA"/>
              </w:rPr>
              <w:t>Uticaj na bilans</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Zaduženost i obaveze</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Povećava kapital</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Lizing obaveze (bilansno)</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Obaveze (dugoročne)</w:t>
            </w:r>
          </w:p>
        </w:tc>
      </w:tr>
      <w:tr w:rsidR="00723BB8" w:rsidRPr="00AC3413" w:rsidTr="00B37B0A">
        <w:trPr>
          <w:tblCellSpacing w:w="15" w:type="dxa"/>
        </w:trPr>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b/>
                <w:bCs/>
                <w:sz w:val="20"/>
                <w:szCs w:val="20"/>
                <w:lang w:eastAsia="hr-BA"/>
              </w:rPr>
              <w:t>Administracija i regulatorni zahtjevi</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Ugovaranje s bankom</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Skupštinska odluka, prospekt, registracija</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Ugovor s lizing kućom</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Prospekt, dozvola Komisije, RVP, depozitar</w:t>
            </w:r>
          </w:p>
        </w:tc>
      </w:tr>
      <w:tr w:rsidR="00723BB8" w:rsidRPr="00AC3413" w:rsidTr="00B37B0A">
        <w:trPr>
          <w:tblCellSpacing w:w="15" w:type="dxa"/>
        </w:trPr>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b/>
                <w:bCs/>
                <w:sz w:val="20"/>
                <w:szCs w:val="20"/>
                <w:lang w:eastAsia="hr-BA"/>
              </w:rPr>
              <w:t>Kontrola nad poslovanjem</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Zadržana</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Moguć gubitak kontrole (ako se emituje mnogo dionica)</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Zadržana</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Zadržana</w:t>
            </w:r>
          </w:p>
        </w:tc>
      </w:tr>
      <w:tr w:rsidR="00723BB8" w:rsidRPr="00AC3413" w:rsidTr="00B37B0A">
        <w:trPr>
          <w:tblCellSpacing w:w="15" w:type="dxa"/>
        </w:trPr>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b/>
                <w:bCs/>
                <w:sz w:val="20"/>
                <w:szCs w:val="20"/>
                <w:lang w:eastAsia="hr-BA"/>
              </w:rPr>
              <w:t>Vidljivost i reputacija</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Interna</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Visoka transparentnost i reputacija</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Niska</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Visoka transparentnost i reputacija</w:t>
            </w:r>
          </w:p>
        </w:tc>
      </w:tr>
      <w:tr w:rsidR="00723BB8" w:rsidRPr="00AC3413" w:rsidTr="00B37B0A">
        <w:trPr>
          <w:tblCellSpacing w:w="15" w:type="dxa"/>
        </w:trPr>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b/>
                <w:bCs/>
                <w:sz w:val="20"/>
                <w:szCs w:val="20"/>
                <w:lang w:eastAsia="hr-BA"/>
              </w:rPr>
              <w:t>Namjena</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Generalna ili specifična</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Generalna</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Uglavnom za opremu i vozila</w:t>
            </w:r>
          </w:p>
        </w:tc>
        <w:tc>
          <w:tcPr>
            <w:tcW w:w="0" w:type="auto"/>
            <w:vAlign w:val="center"/>
            <w:hideMark/>
          </w:tcPr>
          <w:p w:rsidR="00723BB8" w:rsidRPr="00B37B0A" w:rsidRDefault="00723BB8" w:rsidP="00723BB8">
            <w:pPr>
              <w:spacing w:after="0" w:line="240" w:lineRule="auto"/>
              <w:jc w:val="center"/>
              <w:rPr>
                <w:rFonts w:eastAsia="Times New Roman" w:cstheme="minorHAnsi"/>
                <w:sz w:val="20"/>
                <w:szCs w:val="20"/>
                <w:lang w:eastAsia="hr-BA"/>
              </w:rPr>
            </w:pPr>
            <w:r w:rsidRPr="00B37B0A">
              <w:rPr>
                <w:rFonts w:eastAsia="Times New Roman" w:cstheme="minorHAnsi"/>
                <w:sz w:val="20"/>
                <w:szCs w:val="20"/>
                <w:lang w:eastAsia="hr-BA"/>
              </w:rPr>
              <w:t>Generalna (uz opis u prospektu)</w:t>
            </w:r>
          </w:p>
        </w:tc>
      </w:tr>
    </w:tbl>
    <w:p w:rsidR="00723BB8" w:rsidRPr="00AC3413" w:rsidRDefault="00723BB8" w:rsidP="007A64F4">
      <w:pPr>
        <w:spacing w:before="100" w:beforeAutospacing="1" w:after="100" w:afterAutospacing="1" w:line="240" w:lineRule="auto"/>
        <w:jc w:val="both"/>
        <w:rPr>
          <w:rFonts w:eastAsia="Times New Roman" w:cstheme="minorHAnsi"/>
          <w:lang w:eastAsia="hr-BA"/>
        </w:rPr>
      </w:pPr>
      <w:r w:rsidRPr="00AC3413">
        <w:rPr>
          <w:rFonts w:eastAsia="Times New Roman" w:cstheme="minorHAnsi"/>
          <w:lang w:eastAsia="hr-BA"/>
        </w:rPr>
        <w:t>S obzirom na:</w:t>
      </w:r>
    </w:p>
    <w:p w:rsidR="00723BB8" w:rsidRPr="00AC3413" w:rsidRDefault="00723BB8" w:rsidP="007A64F4">
      <w:pPr>
        <w:numPr>
          <w:ilvl w:val="0"/>
          <w:numId w:val="29"/>
        </w:numPr>
        <w:spacing w:before="100" w:beforeAutospacing="1" w:after="100" w:afterAutospacing="1" w:line="240" w:lineRule="auto"/>
        <w:jc w:val="both"/>
        <w:rPr>
          <w:rFonts w:eastAsia="Times New Roman" w:cstheme="minorHAnsi"/>
          <w:lang w:eastAsia="hr-BA"/>
        </w:rPr>
      </w:pPr>
      <w:r w:rsidRPr="00AC3413">
        <w:rPr>
          <w:rFonts w:eastAsia="Times New Roman" w:cstheme="minorHAnsi"/>
          <w:lang w:eastAsia="hr-BA"/>
        </w:rPr>
        <w:t xml:space="preserve">potrebu za </w:t>
      </w:r>
      <w:r w:rsidRPr="00723BB8">
        <w:rPr>
          <w:rFonts w:eastAsia="Times New Roman" w:cstheme="minorHAnsi"/>
          <w:b/>
          <w:bCs/>
          <w:lang w:eastAsia="hr-BA"/>
        </w:rPr>
        <w:t>dugoročnim izvorom finansiranja</w:t>
      </w:r>
      <w:r w:rsidRPr="00AC3413">
        <w:rPr>
          <w:rFonts w:eastAsia="Times New Roman" w:cstheme="minorHAnsi"/>
          <w:lang w:eastAsia="hr-BA"/>
        </w:rPr>
        <w:t>,</w:t>
      </w:r>
    </w:p>
    <w:p w:rsidR="00723BB8" w:rsidRPr="00AC3413" w:rsidRDefault="00723BB8" w:rsidP="007A64F4">
      <w:pPr>
        <w:numPr>
          <w:ilvl w:val="0"/>
          <w:numId w:val="29"/>
        </w:numPr>
        <w:spacing w:before="100" w:beforeAutospacing="1" w:after="100" w:afterAutospacing="1" w:line="240" w:lineRule="auto"/>
        <w:jc w:val="both"/>
        <w:rPr>
          <w:rFonts w:eastAsia="Times New Roman" w:cstheme="minorHAnsi"/>
          <w:lang w:eastAsia="hr-BA"/>
        </w:rPr>
      </w:pPr>
      <w:r w:rsidRPr="00AC3413">
        <w:rPr>
          <w:rFonts w:eastAsia="Times New Roman" w:cstheme="minorHAnsi"/>
          <w:lang w:eastAsia="hr-BA"/>
        </w:rPr>
        <w:t xml:space="preserve">očuvanje postojeće </w:t>
      </w:r>
      <w:r w:rsidRPr="00723BB8">
        <w:rPr>
          <w:rFonts w:eastAsia="Times New Roman" w:cstheme="minorHAnsi"/>
          <w:b/>
          <w:bCs/>
          <w:lang w:eastAsia="hr-BA"/>
        </w:rPr>
        <w:t>vlasničke strukture</w:t>
      </w:r>
      <w:r w:rsidRPr="00AC3413">
        <w:rPr>
          <w:rFonts w:eastAsia="Times New Roman" w:cstheme="minorHAnsi"/>
          <w:lang w:eastAsia="hr-BA"/>
        </w:rPr>
        <w:t>,</w:t>
      </w:r>
    </w:p>
    <w:p w:rsidR="00723BB8" w:rsidRPr="00AC3413" w:rsidRDefault="00723BB8" w:rsidP="007A64F4">
      <w:pPr>
        <w:numPr>
          <w:ilvl w:val="0"/>
          <w:numId w:val="29"/>
        </w:numPr>
        <w:spacing w:before="100" w:beforeAutospacing="1" w:after="100" w:afterAutospacing="1" w:line="240" w:lineRule="auto"/>
        <w:jc w:val="both"/>
        <w:rPr>
          <w:rFonts w:eastAsia="Times New Roman" w:cstheme="minorHAnsi"/>
          <w:lang w:eastAsia="hr-BA"/>
        </w:rPr>
      </w:pPr>
      <w:r w:rsidRPr="00AC3413">
        <w:rPr>
          <w:rFonts w:eastAsia="Times New Roman" w:cstheme="minorHAnsi"/>
          <w:lang w:eastAsia="hr-BA"/>
        </w:rPr>
        <w:t>transparentnost i reputaciju kao faktore rasta povjerenja tržišta,</w:t>
      </w:r>
    </w:p>
    <w:p w:rsidR="00723BB8" w:rsidRPr="00AC3413" w:rsidRDefault="00723BB8" w:rsidP="007A64F4">
      <w:pPr>
        <w:numPr>
          <w:ilvl w:val="0"/>
          <w:numId w:val="29"/>
        </w:numPr>
        <w:spacing w:before="100" w:beforeAutospacing="1" w:after="100" w:afterAutospacing="1" w:line="240" w:lineRule="auto"/>
        <w:jc w:val="both"/>
        <w:rPr>
          <w:rFonts w:eastAsia="Times New Roman" w:cstheme="minorHAnsi"/>
          <w:lang w:eastAsia="hr-BA"/>
        </w:rPr>
      </w:pPr>
      <w:r w:rsidRPr="00AC3413">
        <w:rPr>
          <w:rFonts w:eastAsia="Times New Roman" w:cstheme="minorHAnsi"/>
          <w:lang w:eastAsia="hr-BA"/>
        </w:rPr>
        <w:t xml:space="preserve">te mogućnost da se obveznice plasiraju putem </w:t>
      </w:r>
      <w:r w:rsidRPr="00723BB8">
        <w:rPr>
          <w:rFonts w:eastAsia="Times New Roman" w:cstheme="minorHAnsi"/>
          <w:b/>
          <w:bCs/>
          <w:lang w:eastAsia="hr-BA"/>
        </w:rPr>
        <w:t>javne ponude uz konkurentan trošak kapitala</w:t>
      </w:r>
      <w:r w:rsidRPr="00AC3413">
        <w:rPr>
          <w:rFonts w:eastAsia="Times New Roman" w:cstheme="minorHAnsi"/>
          <w:lang w:eastAsia="hr-BA"/>
        </w:rPr>
        <w:t>,</w:t>
      </w:r>
    </w:p>
    <w:p w:rsidR="00777493" w:rsidRDefault="00723BB8" w:rsidP="007A64F4">
      <w:pPr>
        <w:spacing w:before="100" w:beforeAutospacing="1" w:after="100" w:afterAutospacing="1" w:line="240" w:lineRule="auto"/>
        <w:jc w:val="both"/>
        <w:outlineLvl w:val="2"/>
        <w:rPr>
          <w:rFonts w:eastAsia="Times New Roman" w:cstheme="minorHAnsi"/>
          <w:lang w:eastAsia="hr-BA"/>
        </w:rPr>
      </w:pPr>
      <w:r w:rsidRPr="00723BB8">
        <w:rPr>
          <w:rFonts w:eastAsia="Times New Roman" w:cstheme="minorHAnsi"/>
          <w:b/>
          <w:bCs/>
          <w:lang w:eastAsia="hr-BA"/>
        </w:rPr>
        <w:t>emisija obveznica</w:t>
      </w:r>
      <w:r w:rsidRPr="00AC3413">
        <w:rPr>
          <w:rFonts w:eastAsia="Times New Roman" w:cstheme="minorHAnsi"/>
          <w:lang w:eastAsia="hr-BA"/>
        </w:rPr>
        <w:t xml:space="preserve"> predstavlja optimalan balans između očuvanja kontrole, finansijske fleksibilnosti i dugoročnog finansiranja.</w:t>
      </w:r>
    </w:p>
    <w:p w:rsidR="00723BB8" w:rsidRPr="00723BB8" w:rsidRDefault="00A00D7B" w:rsidP="00723BB8">
      <w:pPr>
        <w:spacing w:before="100" w:beforeAutospacing="1" w:after="100" w:afterAutospacing="1" w:line="240" w:lineRule="auto"/>
        <w:outlineLvl w:val="2"/>
        <w:rPr>
          <w:rFonts w:eastAsia="Times New Roman" w:cstheme="minorHAnsi"/>
          <w:b/>
          <w:bCs/>
          <w:lang w:eastAsia="hr-BA"/>
        </w:rPr>
      </w:pPr>
      <w:r>
        <w:rPr>
          <w:rFonts w:eastAsia="Times New Roman" w:cstheme="minorHAnsi"/>
          <w:lang w:eastAsia="hr-BA"/>
        </w:rPr>
        <w:pict>
          <v:rect id="_x0000_i1026" style="width:0;height:1.5pt" o:hralign="center" o:hrstd="t" o:hr="t" fillcolor="#a0a0a0" stroked="f"/>
        </w:pict>
      </w:r>
    </w:p>
    <w:p w:rsidR="00777493" w:rsidRDefault="00723BB8" w:rsidP="005F218B">
      <w:pPr>
        <w:spacing w:before="100" w:beforeAutospacing="1" w:after="100" w:afterAutospacing="1" w:line="240" w:lineRule="auto"/>
        <w:outlineLvl w:val="2"/>
        <w:rPr>
          <w:rFonts w:eastAsia="Times New Roman" w:cstheme="minorHAnsi"/>
          <w:b/>
          <w:bCs/>
          <w:lang w:eastAsia="hr-BA"/>
        </w:rPr>
      </w:pPr>
      <w:r>
        <w:rPr>
          <w:rFonts w:eastAsia="Times New Roman" w:cstheme="minorHAnsi"/>
          <w:b/>
          <w:bCs/>
          <w:lang w:eastAsia="hr-BA"/>
        </w:rPr>
        <w:t>3. Uslovi emisije:</w:t>
      </w:r>
    </w:p>
    <w:tbl>
      <w:tblPr>
        <w:tblStyle w:val="GridTable1Light-Accent1"/>
        <w:tblW w:w="0" w:type="auto"/>
        <w:tblLook w:val="04A0" w:firstRow="1" w:lastRow="0" w:firstColumn="1" w:lastColumn="0" w:noHBand="0" w:noVBand="1"/>
      </w:tblPr>
      <w:tblGrid>
        <w:gridCol w:w="3114"/>
        <w:gridCol w:w="1843"/>
      </w:tblGrid>
      <w:tr w:rsidR="00723BB8" w:rsidRPr="00CD7235" w:rsidTr="00723B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723BB8" w:rsidRPr="00723BB8" w:rsidRDefault="00723BB8" w:rsidP="00435631">
            <w:pPr>
              <w:spacing w:before="60" w:after="60"/>
              <w:rPr>
                <w:rFonts w:cstheme="minorHAnsi"/>
                <w:lang w:val="bs-Latn-BA"/>
              </w:rPr>
            </w:pPr>
            <w:r w:rsidRPr="00723BB8">
              <w:rPr>
                <w:rFonts w:cstheme="minorHAnsi"/>
                <w:lang w:val="bs-Latn-BA"/>
              </w:rPr>
              <w:t>Ukupna emisija</w:t>
            </w:r>
          </w:p>
        </w:tc>
        <w:tc>
          <w:tcPr>
            <w:tcW w:w="1843" w:type="dxa"/>
          </w:tcPr>
          <w:p w:rsidR="00723BB8" w:rsidRPr="00723BB8" w:rsidRDefault="00723BB8" w:rsidP="00435631">
            <w:pPr>
              <w:spacing w:before="60" w:after="60"/>
              <w:jc w:val="right"/>
              <w:cnfStyle w:val="100000000000" w:firstRow="1" w:lastRow="0" w:firstColumn="0" w:lastColumn="0" w:oddVBand="0" w:evenVBand="0" w:oddHBand="0" w:evenHBand="0" w:firstRowFirstColumn="0" w:firstRowLastColumn="0" w:lastRowFirstColumn="0" w:lastRowLastColumn="0"/>
              <w:rPr>
                <w:rFonts w:cstheme="minorHAnsi"/>
                <w:lang w:val="bs-Latn-BA"/>
              </w:rPr>
            </w:pPr>
            <w:r w:rsidRPr="00723BB8">
              <w:rPr>
                <w:rFonts w:cstheme="minorHAnsi"/>
                <w:lang w:val="bs-Latn-BA"/>
              </w:rPr>
              <w:t>15.000.000 KM</w:t>
            </w:r>
          </w:p>
        </w:tc>
      </w:tr>
      <w:tr w:rsidR="00723BB8" w:rsidRPr="00CD7235" w:rsidTr="00723BB8">
        <w:tc>
          <w:tcPr>
            <w:cnfStyle w:val="001000000000" w:firstRow="0" w:lastRow="0" w:firstColumn="1" w:lastColumn="0" w:oddVBand="0" w:evenVBand="0" w:oddHBand="0" w:evenHBand="0" w:firstRowFirstColumn="0" w:firstRowLastColumn="0" w:lastRowFirstColumn="0" w:lastRowLastColumn="0"/>
            <w:tcW w:w="3114" w:type="dxa"/>
          </w:tcPr>
          <w:p w:rsidR="00723BB8" w:rsidRPr="00723BB8" w:rsidRDefault="00723BB8" w:rsidP="00435631">
            <w:pPr>
              <w:spacing w:before="60" w:after="60"/>
              <w:rPr>
                <w:rFonts w:cstheme="minorHAnsi"/>
                <w:lang w:val="bs-Latn-BA"/>
              </w:rPr>
            </w:pPr>
            <w:r w:rsidRPr="00723BB8">
              <w:rPr>
                <w:rFonts w:cstheme="minorHAnsi"/>
                <w:lang w:val="bs-Latn-BA"/>
              </w:rPr>
              <w:lastRenderedPageBreak/>
              <w:t>Ukupan broj obveznica</w:t>
            </w:r>
          </w:p>
        </w:tc>
        <w:tc>
          <w:tcPr>
            <w:tcW w:w="1843" w:type="dxa"/>
          </w:tcPr>
          <w:p w:rsidR="00723BB8" w:rsidRPr="00723BB8" w:rsidRDefault="00723BB8" w:rsidP="00435631">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lang w:val="bs-Latn-BA"/>
              </w:rPr>
            </w:pPr>
            <w:r w:rsidRPr="00723BB8">
              <w:rPr>
                <w:rFonts w:cstheme="minorHAnsi"/>
                <w:lang w:val="bs-Latn-BA"/>
              </w:rPr>
              <w:t>15.000</w:t>
            </w:r>
          </w:p>
        </w:tc>
      </w:tr>
      <w:tr w:rsidR="00723BB8" w:rsidRPr="00CD7235" w:rsidTr="00723BB8">
        <w:tc>
          <w:tcPr>
            <w:cnfStyle w:val="001000000000" w:firstRow="0" w:lastRow="0" w:firstColumn="1" w:lastColumn="0" w:oddVBand="0" w:evenVBand="0" w:oddHBand="0" w:evenHBand="0" w:firstRowFirstColumn="0" w:firstRowLastColumn="0" w:lastRowFirstColumn="0" w:lastRowLastColumn="0"/>
            <w:tcW w:w="3114" w:type="dxa"/>
          </w:tcPr>
          <w:p w:rsidR="00723BB8" w:rsidRPr="00723BB8" w:rsidRDefault="00723BB8" w:rsidP="00435631">
            <w:pPr>
              <w:spacing w:before="60" w:after="60"/>
              <w:rPr>
                <w:rFonts w:cstheme="minorHAnsi"/>
                <w:lang w:val="bs-Latn-BA"/>
              </w:rPr>
            </w:pPr>
            <w:r w:rsidRPr="00723BB8">
              <w:rPr>
                <w:rFonts w:cstheme="minorHAnsi"/>
                <w:lang w:val="bs-Latn-BA"/>
              </w:rPr>
              <w:t>Nominalna vrijednost obveznica</w:t>
            </w:r>
          </w:p>
        </w:tc>
        <w:tc>
          <w:tcPr>
            <w:tcW w:w="1843" w:type="dxa"/>
          </w:tcPr>
          <w:p w:rsidR="00723BB8" w:rsidRPr="00723BB8" w:rsidRDefault="00723BB8" w:rsidP="00435631">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lang w:val="bs-Latn-BA"/>
              </w:rPr>
            </w:pPr>
            <w:r w:rsidRPr="00723BB8">
              <w:rPr>
                <w:rFonts w:cstheme="minorHAnsi"/>
                <w:lang w:val="bs-Latn-BA"/>
              </w:rPr>
              <w:t>1.000 KM</w:t>
            </w:r>
          </w:p>
        </w:tc>
      </w:tr>
      <w:tr w:rsidR="00723BB8" w:rsidRPr="00CD7235" w:rsidTr="00723BB8">
        <w:tc>
          <w:tcPr>
            <w:cnfStyle w:val="001000000000" w:firstRow="0" w:lastRow="0" w:firstColumn="1" w:lastColumn="0" w:oddVBand="0" w:evenVBand="0" w:oddHBand="0" w:evenHBand="0" w:firstRowFirstColumn="0" w:firstRowLastColumn="0" w:lastRowFirstColumn="0" w:lastRowLastColumn="0"/>
            <w:tcW w:w="3114" w:type="dxa"/>
          </w:tcPr>
          <w:p w:rsidR="00723BB8" w:rsidRPr="00723BB8" w:rsidRDefault="00723BB8" w:rsidP="00435631">
            <w:pPr>
              <w:spacing w:before="60" w:after="60"/>
              <w:rPr>
                <w:rFonts w:cstheme="minorHAnsi"/>
                <w:lang w:val="bs-Latn-BA"/>
              </w:rPr>
            </w:pPr>
            <w:r w:rsidRPr="00723BB8">
              <w:rPr>
                <w:rFonts w:cstheme="minorHAnsi"/>
                <w:lang w:val="bs-Latn-BA"/>
              </w:rPr>
              <w:t>Godišnja kamata</w:t>
            </w:r>
          </w:p>
        </w:tc>
        <w:tc>
          <w:tcPr>
            <w:tcW w:w="1843" w:type="dxa"/>
          </w:tcPr>
          <w:p w:rsidR="00723BB8" w:rsidRPr="00723BB8" w:rsidRDefault="00723BB8" w:rsidP="00435631">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lang w:val="bs-Latn-BA"/>
              </w:rPr>
            </w:pPr>
            <w:r w:rsidRPr="00723BB8">
              <w:rPr>
                <w:rFonts w:cstheme="minorHAnsi"/>
                <w:lang w:val="bs-Latn-BA"/>
              </w:rPr>
              <w:t>6,5%</w:t>
            </w:r>
          </w:p>
        </w:tc>
      </w:tr>
      <w:tr w:rsidR="00723BB8" w:rsidRPr="00CD7235" w:rsidTr="00723BB8">
        <w:tc>
          <w:tcPr>
            <w:cnfStyle w:val="001000000000" w:firstRow="0" w:lastRow="0" w:firstColumn="1" w:lastColumn="0" w:oddVBand="0" w:evenVBand="0" w:oddHBand="0" w:evenHBand="0" w:firstRowFirstColumn="0" w:firstRowLastColumn="0" w:lastRowFirstColumn="0" w:lastRowLastColumn="0"/>
            <w:tcW w:w="3114" w:type="dxa"/>
          </w:tcPr>
          <w:p w:rsidR="00723BB8" w:rsidRPr="00723BB8" w:rsidRDefault="00723BB8" w:rsidP="00435631">
            <w:pPr>
              <w:spacing w:before="60" w:after="60"/>
              <w:rPr>
                <w:rFonts w:cstheme="minorHAnsi"/>
                <w:lang w:val="bs-Latn-BA"/>
              </w:rPr>
            </w:pPr>
            <w:r w:rsidRPr="00723BB8">
              <w:rPr>
                <w:rFonts w:cstheme="minorHAnsi"/>
                <w:lang w:val="bs-Latn-BA"/>
              </w:rPr>
              <w:t>Rok dospijeća glavice</w:t>
            </w:r>
          </w:p>
        </w:tc>
        <w:tc>
          <w:tcPr>
            <w:tcW w:w="1843" w:type="dxa"/>
          </w:tcPr>
          <w:p w:rsidR="00723BB8" w:rsidRPr="00723BB8" w:rsidRDefault="00723BB8" w:rsidP="00435631">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lang w:val="bs-Latn-BA"/>
              </w:rPr>
            </w:pPr>
            <w:r w:rsidRPr="00723BB8">
              <w:rPr>
                <w:rFonts w:cstheme="minorHAnsi"/>
                <w:lang w:val="bs-Latn-BA"/>
              </w:rPr>
              <w:t>5 godina</w:t>
            </w:r>
          </w:p>
        </w:tc>
      </w:tr>
      <w:tr w:rsidR="00723BB8" w:rsidRPr="00CD7235" w:rsidTr="00723BB8">
        <w:tc>
          <w:tcPr>
            <w:cnfStyle w:val="001000000000" w:firstRow="0" w:lastRow="0" w:firstColumn="1" w:lastColumn="0" w:oddVBand="0" w:evenVBand="0" w:oddHBand="0" w:evenHBand="0" w:firstRowFirstColumn="0" w:firstRowLastColumn="0" w:lastRowFirstColumn="0" w:lastRowLastColumn="0"/>
            <w:tcW w:w="3114" w:type="dxa"/>
          </w:tcPr>
          <w:p w:rsidR="00723BB8" w:rsidRPr="00723BB8" w:rsidRDefault="00723BB8" w:rsidP="00435631">
            <w:pPr>
              <w:spacing w:before="60" w:after="60"/>
              <w:rPr>
                <w:rFonts w:cstheme="minorHAnsi"/>
                <w:lang w:val="bs-Latn-BA"/>
              </w:rPr>
            </w:pPr>
            <w:r w:rsidRPr="00723BB8">
              <w:rPr>
                <w:rFonts w:cstheme="minorHAnsi"/>
                <w:lang w:val="bs-Latn-BA"/>
              </w:rPr>
              <w:t>Isplata kamate</w:t>
            </w:r>
          </w:p>
        </w:tc>
        <w:tc>
          <w:tcPr>
            <w:tcW w:w="1843" w:type="dxa"/>
          </w:tcPr>
          <w:p w:rsidR="00723BB8" w:rsidRPr="00723BB8" w:rsidRDefault="00723BB8" w:rsidP="00435631">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lang w:val="bs-Latn-BA"/>
              </w:rPr>
            </w:pPr>
            <w:r w:rsidRPr="00723BB8">
              <w:rPr>
                <w:rFonts w:cstheme="minorHAnsi"/>
                <w:lang w:val="bs-Latn-BA"/>
              </w:rPr>
              <w:t>Mjesečno</w:t>
            </w:r>
          </w:p>
        </w:tc>
      </w:tr>
    </w:tbl>
    <w:p w:rsidR="00777493" w:rsidRDefault="00A00D7B" w:rsidP="005F218B">
      <w:pPr>
        <w:spacing w:before="100" w:beforeAutospacing="1" w:after="100" w:afterAutospacing="1" w:line="240" w:lineRule="auto"/>
        <w:outlineLvl w:val="2"/>
        <w:rPr>
          <w:rFonts w:eastAsia="Times New Roman" w:cstheme="minorHAnsi"/>
          <w:b/>
          <w:bCs/>
          <w:lang w:eastAsia="hr-BA"/>
        </w:rPr>
      </w:pPr>
      <w:r>
        <w:rPr>
          <w:rFonts w:eastAsia="Times New Roman" w:cstheme="minorHAnsi"/>
          <w:lang w:eastAsia="hr-BA"/>
        </w:rPr>
        <w:pict>
          <v:rect id="_x0000_i1027" style="width:0;height:1.5pt" o:hralign="center" o:hrstd="t" o:hr="t" fillcolor="#a0a0a0" stroked="f"/>
        </w:pict>
      </w:r>
    </w:p>
    <w:p w:rsidR="00777493" w:rsidRPr="00E70BF3" w:rsidRDefault="00723BB8" w:rsidP="005F218B">
      <w:pPr>
        <w:spacing w:before="100" w:beforeAutospacing="1" w:after="100" w:afterAutospacing="1" w:line="240" w:lineRule="auto"/>
        <w:outlineLvl w:val="2"/>
        <w:rPr>
          <w:rFonts w:eastAsia="Times New Roman" w:cstheme="minorHAnsi"/>
          <w:b/>
          <w:bCs/>
          <w:lang w:eastAsia="hr-BA"/>
        </w:rPr>
      </w:pPr>
      <w:r>
        <w:rPr>
          <w:rFonts w:eastAsia="Times New Roman" w:cstheme="minorHAnsi"/>
          <w:b/>
          <w:bCs/>
          <w:lang w:eastAsia="hr-BA"/>
        </w:rPr>
        <w:t xml:space="preserve">4. </w:t>
      </w:r>
      <w:r w:rsidR="005F218B" w:rsidRPr="00E70BF3">
        <w:rPr>
          <w:rFonts w:eastAsia="Times New Roman" w:cstheme="minorHAnsi"/>
          <w:b/>
          <w:bCs/>
          <w:lang w:eastAsia="hr-BA"/>
        </w:rPr>
        <w:t>Ciljevi i strategija za 2025-20</w:t>
      </w:r>
      <w:r w:rsidR="00972EE7" w:rsidRPr="00E70BF3">
        <w:rPr>
          <w:rFonts w:eastAsia="Times New Roman" w:cstheme="minorHAnsi"/>
          <w:b/>
          <w:bCs/>
          <w:lang w:eastAsia="hr-BA"/>
        </w:rPr>
        <w:t>30</w:t>
      </w:r>
    </w:p>
    <w:p w:rsidR="00972EE7" w:rsidRPr="00E70BF3" w:rsidRDefault="00723BB8" w:rsidP="00972EE7">
      <w:pPr>
        <w:spacing w:before="100" w:beforeAutospacing="1" w:after="100" w:afterAutospacing="1" w:line="240" w:lineRule="auto"/>
        <w:outlineLvl w:val="2"/>
        <w:rPr>
          <w:rFonts w:eastAsia="Times New Roman" w:cstheme="minorHAnsi"/>
          <w:b/>
          <w:bCs/>
          <w:lang w:eastAsia="hr-BA"/>
        </w:rPr>
      </w:pPr>
      <w:r>
        <w:rPr>
          <w:rFonts w:eastAsia="Times New Roman" w:cstheme="minorHAnsi"/>
          <w:b/>
          <w:bCs/>
          <w:lang w:eastAsia="hr-BA"/>
        </w:rPr>
        <w:t>4.1.</w:t>
      </w:r>
      <w:r w:rsidR="00972EE7" w:rsidRPr="00E70BF3">
        <w:rPr>
          <w:rFonts w:eastAsia="Times New Roman" w:cstheme="minorHAnsi"/>
          <w:b/>
          <w:bCs/>
          <w:lang w:eastAsia="hr-BA"/>
        </w:rPr>
        <w:t xml:space="preserve"> Analiza trenutnog stanja</w:t>
      </w:r>
    </w:p>
    <w:p w:rsidR="00972EE7" w:rsidRPr="00E70BF3" w:rsidRDefault="00CD021F" w:rsidP="007A64F4">
      <w:pPr>
        <w:spacing w:before="100" w:beforeAutospacing="1" w:after="100" w:afterAutospacing="1" w:line="240" w:lineRule="auto"/>
        <w:jc w:val="both"/>
        <w:rPr>
          <w:rFonts w:eastAsia="Times New Roman" w:cstheme="minorHAnsi"/>
          <w:lang w:eastAsia="hr-BA"/>
        </w:rPr>
      </w:pPr>
      <w:r>
        <w:t xml:space="preserve">Na temelju financijskih podataka za razdoblje 2021–2024, Sarajevska pivara d.d. pokazuje stabilno poslovanje s uzlaznim trendom prihoda i jačanjem kapitalne pozicije. Posebno je značajno istaknuti rast prihoda u 2024. godini, koji je rezultat strateških aktivnosti na tržištu i operativnih poboljšanja. </w:t>
      </w:r>
      <w:r w:rsidR="00972EE7" w:rsidRPr="00E70BF3">
        <w:rPr>
          <w:rFonts w:eastAsia="Times New Roman" w:cstheme="minorHAnsi"/>
          <w:lang w:eastAsia="hr-BA"/>
        </w:rPr>
        <w:t>Međutim, postoji nekoliko ključnih područja na koja treba obratiti pažnju:</w:t>
      </w:r>
    </w:p>
    <w:p w:rsidR="00972EE7" w:rsidRPr="00E70BF3" w:rsidRDefault="00972EE7" w:rsidP="007A64F4">
      <w:pPr>
        <w:numPr>
          <w:ilvl w:val="0"/>
          <w:numId w:val="11"/>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Prihodi</w:t>
      </w:r>
      <w:r w:rsidRPr="00E70BF3">
        <w:rPr>
          <w:rFonts w:eastAsia="Times New Roman" w:cstheme="minorHAnsi"/>
          <w:lang w:eastAsia="hr-BA"/>
        </w:rPr>
        <w:t xml:space="preserve">: </w:t>
      </w:r>
      <w:r w:rsidR="00CD021F">
        <w:t>Ukupni prihodi su porasli s 23,4 mil. KM (2021.) na gotovo 30,6 mil. KM (2024.), što potvrđuje održivi rast i snažnu tržišnu poziciju. Unatoč blagom privremenom padu u 2023., rezultat za 2024. pokazuje oporavak i pozitivan zamah koji se očekuje nastaviti i u narednim godinama</w:t>
      </w:r>
      <w:r w:rsidRPr="00E70BF3">
        <w:rPr>
          <w:rFonts w:eastAsia="Times New Roman" w:cstheme="minorHAnsi"/>
          <w:lang w:eastAsia="hr-BA"/>
        </w:rPr>
        <w:t>. Potrebno je povećati prodaju i diversificirati portfelj proizvoda.</w:t>
      </w:r>
    </w:p>
    <w:p w:rsidR="00972EE7" w:rsidRPr="00E70BF3" w:rsidRDefault="00972EE7" w:rsidP="007A64F4">
      <w:pPr>
        <w:numPr>
          <w:ilvl w:val="0"/>
          <w:numId w:val="11"/>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Troškovi</w:t>
      </w:r>
      <w:r w:rsidRPr="00E70BF3">
        <w:rPr>
          <w:rFonts w:eastAsia="Times New Roman" w:cstheme="minorHAnsi"/>
          <w:lang w:eastAsia="hr-BA"/>
        </w:rPr>
        <w:t xml:space="preserve">: </w:t>
      </w:r>
      <w:r w:rsidR="00CD021F">
        <w:t>Rashodi su pod kontrolom, uz stabilan poslovni rezultat u svim promatranim godinama. Kontinuirano rad na optimizaciji proizvodnje i distribucije će dodatno unaprijediti profitabilnost i operativnu efikasnost</w:t>
      </w:r>
      <w:r w:rsidRPr="00E70BF3">
        <w:rPr>
          <w:rFonts w:eastAsia="Times New Roman" w:cstheme="minorHAnsi"/>
          <w:lang w:eastAsia="hr-BA"/>
        </w:rPr>
        <w:t>.</w:t>
      </w:r>
    </w:p>
    <w:p w:rsidR="00972EE7" w:rsidRPr="00E70BF3" w:rsidRDefault="00972EE7" w:rsidP="007A64F4">
      <w:pPr>
        <w:numPr>
          <w:ilvl w:val="0"/>
          <w:numId w:val="11"/>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Obveze</w:t>
      </w:r>
      <w:r w:rsidRPr="00E70BF3">
        <w:rPr>
          <w:rFonts w:eastAsia="Times New Roman" w:cstheme="minorHAnsi"/>
          <w:lang w:eastAsia="hr-BA"/>
        </w:rPr>
        <w:t xml:space="preserve">: </w:t>
      </w:r>
      <w:r w:rsidR="00CD021F">
        <w:t>Dugoročne ob</w:t>
      </w:r>
      <w:r w:rsidR="00283022">
        <w:t>a</w:t>
      </w:r>
      <w:r w:rsidR="00CD021F">
        <w:t>veze značajno su smanjene (s 10,3 mil. KM u 2021. na 3,5 mil. KM u 2024.), što ukazuje na uspješnu otplatu dugova. Međutim, visoke kratkoročne ob</w:t>
      </w:r>
      <w:r w:rsidR="00283022">
        <w:t>a</w:t>
      </w:r>
      <w:r w:rsidR="00CD021F">
        <w:t xml:space="preserve">veze (preko 44 mil. KM u 2024.) </w:t>
      </w:r>
      <w:r w:rsidRPr="00E70BF3">
        <w:rPr>
          <w:rFonts w:eastAsia="Times New Roman" w:cstheme="minorHAnsi"/>
          <w:lang w:eastAsia="hr-BA"/>
        </w:rPr>
        <w:t>ukazuje na potrebu za jačom likvidnošću i smanjenjem kratkoročnih financijskih pritisaka.</w:t>
      </w:r>
    </w:p>
    <w:p w:rsidR="00972EE7" w:rsidRPr="00E70BF3" w:rsidRDefault="00972EE7" w:rsidP="007A64F4">
      <w:pPr>
        <w:spacing w:before="100" w:beforeAutospacing="1" w:after="100" w:afterAutospacing="1" w:line="240" w:lineRule="auto"/>
        <w:jc w:val="both"/>
        <w:outlineLvl w:val="2"/>
        <w:rPr>
          <w:rFonts w:eastAsia="Times New Roman" w:cstheme="minorHAnsi"/>
          <w:b/>
          <w:bCs/>
          <w:lang w:eastAsia="hr-BA"/>
        </w:rPr>
      </w:pPr>
      <w:r w:rsidRPr="00E70BF3">
        <w:rPr>
          <w:rFonts w:eastAsia="Times New Roman" w:cstheme="minorHAnsi"/>
          <w:b/>
          <w:bCs/>
          <w:lang w:eastAsia="hr-BA"/>
        </w:rPr>
        <w:t>Profitabilnost</w:t>
      </w:r>
      <w:r w:rsidRPr="00E70BF3">
        <w:rPr>
          <w:rFonts w:eastAsia="Times New Roman" w:cstheme="minorHAnsi"/>
          <w:lang w:eastAsia="hr-BA"/>
        </w:rPr>
        <w:t xml:space="preserve">: </w:t>
      </w:r>
      <w:r w:rsidR="00283022">
        <w:t>Sarajevska pivara d.d. Sarajevo ostvaruje kontinuiranu neto dobit u svim promatranim godinama, što je pozitivan signal za potencijalne ulagače. Očekuje se rast profitabilnosti kroz nova ulaganja i povećanje proizvodnih kapaciteta, što će dodatno ojačati financijski položaj Društva.</w:t>
      </w:r>
    </w:p>
    <w:p w:rsidR="00EC3C87" w:rsidRPr="00E70BF3" w:rsidRDefault="00A00D7B" w:rsidP="00EC3C87">
      <w:pPr>
        <w:spacing w:after="0" w:line="240" w:lineRule="auto"/>
        <w:rPr>
          <w:rFonts w:eastAsia="Times New Roman" w:cstheme="minorHAnsi"/>
          <w:lang w:eastAsia="hr-BA"/>
        </w:rPr>
      </w:pPr>
      <w:r>
        <w:rPr>
          <w:rFonts w:eastAsia="Times New Roman" w:cstheme="minorHAnsi"/>
          <w:lang w:eastAsia="hr-BA"/>
        </w:rPr>
        <w:pict>
          <v:rect id="_x0000_i1028" style="width:0;height:1.5pt" o:hralign="center" o:hrstd="t" o:hr="t" fillcolor="#a0a0a0" stroked="f"/>
        </w:pict>
      </w:r>
    </w:p>
    <w:p w:rsidR="00972EE7" w:rsidRPr="00E70BF3" w:rsidRDefault="00723BB8" w:rsidP="00972EE7">
      <w:pPr>
        <w:spacing w:before="100" w:beforeAutospacing="1" w:after="100" w:afterAutospacing="1" w:line="240" w:lineRule="auto"/>
        <w:outlineLvl w:val="2"/>
        <w:rPr>
          <w:rFonts w:eastAsia="Times New Roman" w:cstheme="minorHAnsi"/>
          <w:b/>
          <w:bCs/>
          <w:lang w:eastAsia="hr-BA"/>
        </w:rPr>
      </w:pPr>
      <w:r>
        <w:rPr>
          <w:rFonts w:eastAsia="Times New Roman" w:cstheme="minorHAnsi"/>
          <w:b/>
          <w:bCs/>
          <w:lang w:eastAsia="hr-BA"/>
        </w:rPr>
        <w:t>5</w:t>
      </w:r>
      <w:r w:rsidR="00972EE7" w:rsidRPr="00E70BF3">
        <w:rPr>
          <w:rFonts w:eastAsia="Times New Roman" w:cstheme="minorHAnsi"/>
          <w:b/>
          <w:bCs/>
          <w:lang w:eastAsia="hr-BA"/>
        </w:rPr>
        <w:t>. Strategijski ciljevi za razdoblje 2025-20</w:t>
      </w:r>
      <w:r w:rsidR="001918B7" w:rsidRPr="00E70BF3">
        <w:rPr>
          <w:rFonts w:eastAsia="Times New Roman" w:cstheme="minorHAnsi"/>
          <w:b/>
          <w:bCs/>
          <w:lang w:eastAsia="hr-BA"/>
        </w:rPr>
        <w:t>30</w:t>
      </w:r>
    </w:p>
    <w:p w:rsidR="00972EE7" w:rsidRPr="00E70BF3" w:rsidRDefault="00972EE7" w:rsidP="00972EE7">
      <w:pPr>
        <w:spacing w:before="100" w:beforeAutospacing="1" w:after="100" w:afterAutospacing="1" w:line="240" w:lineRule="auto"/>
        <w:outlineLvl w:val="3"/>
        <w:rPr>
          <w:rFonts w:eastAsia="Times New Roman" w:cstheme="minorHAnsi"/>
          <w:b/>
          <w:bCs/>
          <w:lang w:eastAsia="hr-BA"/>
        </w:rPr>
      </w:pPr>
      <w:r w:rsidRPr="00E70BF3">
        <w:rPr>
          <w:rFonts w:eastAsia="Times New Roman" w:cstheme="minorHAnsi"/>
          <w:b/>
          <w:bCs/>
          <w:lang w:eastAsia="hr-BA"/>
        </w:rPr>
        <w:t>A. Povećanje prihoda i tržišnog udjela</w:t>
      </w:r>
    </w:p>
    <w:p w:rsidR="00972EE7" w:rsidRPr="00E70BF3" w:rsidRDefault="00972EE7" w:rsidP="007A64F4">
      <w:pPr>
        <w:numPr>
          <w:ilvl w:val="0"/>
          <w:numId w:val="12"/>
        </w:numPr>
        <w:spacing w:before="100" w:beforeAutospacing="1" w:after="100" w:afterAutospacing="1" w:line="240" w:lineRule="auto"/>
        <w:jc w:val="both"/>
        <w:rPr>
          <w:rFonts w:eastAsia="Times New Roman" w:cstheme="minorHAnsi"/>
          <w:color w:val="FF0000"/>
          <w:lang w:eastAsia="hr-BA"/>
        </w:rPr>
      </w:pPr>
      <w:r w:rsidRPr="00E70BF3">
        <w:rPr>
          <w:rFonts w:eastAsia="Times New Roman" w:cstheme="minorHAnsi"/>
          <w:b/>
          <w:bCs/>
          <w:color w:val="FF0000"/>
          <w:lang w:eastAsia="hr-BA"/>
        </w:rPr>
        <w:t>Razvoj novih proizvoda</w:t>
      </w:r>
      <w:r w:rsidRPr="00E70BF3">
        <w:rPr>
          <w:rFonts w:eastAsia="Times New Roman" w:cstheme="minorHAnsi"/>
          <w:color w:val="FF0000"/>
          <w:lang w:eastAsia="hr-BA"/>
        </w:rPr>
        <w:t>: Uvođenje novih linija piva i bezalkoholnih napitaka kako bi se zadovoljile promjenjive preferencije potrošača. Fokus na zdrave alternative, funkcionalna pića i inovacije u pakiranjima.</w:t>
      </w:r>
    </w:p>
    <w:p w:rsidR="00972EE7" w:rsidRPr="00E70BF3" w:rsidRDefault="00972EE7" w:rsidP="007A64F4">
      <w:pPr>
        <w:numPr>
          <w:ilvl w:val="0"/>
          <w:numId w:val="12"/>
        </w:numPr>
        <w:spacing w:before="100" w:beforeAutospacing="1" w:after="100" w:afterAutospacing="1" w:line="240" w:lineRule="auto"/>
        <w:jc w:val="both"/>
        <w:rPr>
          <w:rFonts w:eastAsia="Times New Roman" w:cstheme="minorHAnsi"/>
          <w:color w:val="FF0000"/>
          <w:lang w:eastAsia="hr-BA"/>
        </w:rPr>
      </w:pPr>
      <w:r w:rsidRPr="00E70BF3">
        <w:rPr>
          <w:rFonts w:eastAsia="Times New Roman" w:cstheme="minorHAnsi"/>
          <w:b/>
          <w:bCs/>
          <w:color w:val="FF0000"/>
          <w:lang w:eastAsia="hr-BA"/>
        </w:rPr>
        <w:t>Geografska ekspanzija</w:t>
      </w:r>
      <w:r w:rsidRPr="00E70BF3">
        <w:rPr>
          <w:rFonts w:eastAsia="Times New Roman" w:cstheme="minorHAnsi"/>
          <w:color w:val="FF0000"/>
          <w:lang w:eastAsia="hr-BA"/>
        </w:rPr>
        <w:t>: Širenje na nova tržišta u regiji, a potencijalno i na tržišta EU i Azije, gdje postoji potražnja za specijaliziranim pićima.</w:t>
      </w:r>
    </w:p>
    <w:p w:rsidR="00972EE7" w:rsidRDefault="00972EE7" w:rsidP="007A64F4">
      <w:pPr>
        <w:numPr>
          <w:ilvl w:val="0"/>
          <w:numId w:val="12"/>
        </w:numPr>
        <w:spacing w:before="100" w:beforeAutospacing="1" w:after="100" w:afterAutospacing="1" w:line="240" w:lineRule="auto"/>
        <w:jc w:val="both"/>
        <w:rPr>
          <w:rFonts w:eastAsia="Times New Roman" w:cstheme="minorHAnsi"/>
          <w:color w:val="FF0000"/>
          <w:lang w:eastAsia="hr-BA"/>
        </w:rPr>
      </w:pPr>
      <w:r w:rsidRPr="00E70BF3">
        <w:rPr>
          <w:rFonts w:eastAsia="Times New Roman" w:cstheme="minorHAnsi"/>
          <w:b/>
          <w:bCs/>
          <w:color w:val="FF0000"/>
          <w:lang w:eastAsia="hr-BA"/>
        </w:rPr>
        <w:t>Uvođenje premium brendova</w:t>
      </w:r>
      <w:r w:rsidRPr="00E70BF3">
        <w:rPr>
          <w:rFonts w:eastAsia="Times New Roman" w:cstheme="minorHAnsi"/>
          <w:color w:val="FF0000"/>
          <w:lang w:eastAsia="hr-BA"/>
        </w:rPr>
        <w:t>: Postaviti fokus na premium segment, što može donijeti veću maržu.</w:t>
      </w:r>
    </w:p>
    <w:p w:rsidR="007A64F4" w:rsidRDefault="007A64F4" w:rsidP="007A64F4">
      <w:pPr>
        <w:spacing w:before="100" w:beforeAutospacing="1" w:after="100" w:afterAutospacing="1" w:line="240" w:lineRule="auto"/>
        <w:ind w:left="720"/>
        <w:jc w:val="both"/>
        <w:rPr>
          <w:rFonts w:eastAsia="Times New Roman" w:cstheme="minorHAnsi"/>
          <w:color w:val="FF0000"/>
          <w:lang w:eastAsia="hr-BA"/>
        </w:rPr>
      </w:pPr>
    </w:p>
    <w:p w:rsidR="00972EE7" w:rsidRPr="00E70BF3" w:rsidRDefault="00972EE7" w:rsidP="00972EE7">
      <w:pPr>
        <w:spacing w:before="100" w:beforeAutospacing="1" w:after="100" w:afterAutospacing="1" w:line="240" w:lineRule="auto"/>
        <w:outlineLvl w:val="3"/>
        <w:rPr>
          <w:rFonts w:eastAsia="Times New Roman" w:cstheme="minorHAnsi"/>
          <w:b/>
          <w:bCs/>
          <w:lang w:eastAsia="hr-BA"/>
        </w:rPr>
      </w:pPr>
      <w:r w:rsidRPr="00E70BF3">
        <w:rPr>
          <w:rFonts w:eastAsia="Times New Roman" w:cstheme="minorHAnsi"/>
          <w:b/>
          <w:bCs/>
          <w:lang w:eastAsia="hr-BA"/>
        </w:rPr>
        <w:lastRenderedPageBreak/>
        <w:t>B. Optimizacija operacija i smanjenje troškova</w:t>
      </w:r>
    </w:p>
    <w:p w:rsidR="00972EE7" w:rsidRPr="00E70BF3" w:rsidRDefault="00972EE7" w:rsidP="007A64F4">
      <w:pPr>
        <w:numPr>
          <w:ilvl w:val="0"/>
          <w:numId w:val="13"/>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Automatizacija i digitalizacija proizvodnje</w:t>
      </w:r>
      <w:r w:rsidRPr="00E70BF3">
        <w:rPr>
          <w:rFonts w:eastAsia="Times New Roman" w:cstheme="minorHAnsi"/>
          <w:lang w:eastAsia="hr-BA"/>
        </w:rPr>
        <w:t xml:space="preserve">: </w:t>
      </w:r>
      <w:r w:rsidR="00787893" w:rsidRPr="00E70BF3">
        <w:rPr>
          <w:rFonts w:cstheme="minorHAnsi"/>
        </w:rPr>
        <w:t xml:space="preserve">Planiramo uložiti u nabavku novog softvera </w:t>
      </w:r>
      <w:r w:rsidR="00787893" w:rsidRPr="00E70BF3">
        <w:rPr>
          <w:rStyle w:val="Strong"/>
          <w:rFonts w:cstheme="minorHAnsi"/>
        </w:rPr>
        <w:t>Braumat</w:t>
      </w:r>
      <w:r w:rsidR="00787893" w:rsidRPr="00E70BF3">
        <w:rPr>
          <w:rFonts w:cstheme="minorHAnsi"/>
        </w:rPr>
        <w:t xml:space="preserve"> za upravljanje radom kuhaonom, VLP i filtracijom, kao i implementaciju </w:t>
      </w:r>
      <w:r w:rsidR="00787893" w:rsidRPr="00E70BF3">
        <w:rPr>
          <w:rStyle w:val="Strong"/>
          <w:rFonts w:cstheme="minorHAnsi"/>
        </w:rPr>
        <w:t>WMS sistema</w:t>
      </w:r>
      <w:r w:rsidR="00787893" w:rsidRPr="00E70BF3">
        <w:rPr>
          <w:rFonts w:cstheme="minorHAnsi"/>
        </w:rPr>
        <w:t xml:space="preserve"> za praćenje robe u realnom vremenu i automatsko označavanje paleta. Ove investicije omogućit će bolju kontrolu, optimizaciju prostora, bržu proizvodnju, smanjenje grešaka i povećanje efikasnosti distribucije, što će rezultirati dugoročnim uštedama.</w:t>
      </w:r>
    </w:p>
    <w:p w:rsidR="00972EE7" w:rsidRPr="00E70BF3" w:rsidRDefault="00972EE7" w:rsidP="007A64F4">
      <w:pPr>
        <w:numPr>
          <w:ilvl w:val="0"/>
          <w:numId w:val="13"/>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Optimizacija distribucije</w:t>
      </w:r>
      <w:r w:rsidRPr="00E70BF3">
        <w:rPr>
          <w:rFonts w:eastAsia="Times New Roman" w:cstheme="minorHAnsi"/>
          <w:lang w:eastAsia="hr-BA"/>
        </w:rPr>
        <w:t xml:space="preserve">: </w:t>
      </w:r>
      <w:r w:rsidR="00787893" w:rsidRPr="00E70BF3">
        <w:rPr>
          <w:rFonts w:cstheme="minorHAnsi"/>
        </w:rPr>
        <w:t xml:space="preserve">Planiramo smanjiti troškove distribucije kroz nabavku vlastite flote vozila, uključujući </w:t>
      </w:r>
      <w:r w:rsidR="00787893" w:rsidRPr="00E70BF3">
        <w:rPr>
          <w:rStyle w:val="Strong"/>
          <w:rFonts w:cstheme="minorHAnsi"/>
        </w:rPr>
        <w:t>10 kamiona i 4 kombija</w:t>
      </w:r>
      <w:r w:rsidR="00787893" w:rsidRPr="00E70BF3">
        <w:rPr>
          <w:rFonts w:cstheme="minorHAnsi"/>
        </w:rPr>
        <w:t>. Ova ulaganja omogućit će veću fleksibilnost u distribuciji, smanjenje troškova angažiranja eksternih prevoznika, povećanje pouzdanosti isporuka i bolje uvjete za prisutnost na tržištu</w:t>
      </w:r>
      <w:r w:rsidRPr="00E70BF3">
        <w:rPr>
          <w:rFonts w:eastAsia="Times New Roman" w:cstheme="minorHAnsi"/>
          <w:lang w:eastAsia="hr-BA"/>
        </w:rPr>
        <w:t>.</w:t>
      </w:r>
    </w:p>
    <w:p w:rsidR="00972EE7" w:rsidRPr="00E70BF3" w:rsidRDefault="00972EE7" w:rsidP="007A64F4">
      <w:pPr>
        <w:numPr>
          <w:ilvl w:val="0"/>
          <w:numId w:val="13"/>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Održivi razvoj</w:t>
      </w:r>
      <w:r w:rsidRPr="00E70BF3">
        <w:rPr>
          <w:rFonts w:eastAsia="Times New Roman" w:cstheme="minorHAnsi"/>
          <w:lang w:eastAsia="hr-BA"/>
        </w:rPr>
        <w:t xml:space="preserve">: </w:t>
      </w:r>
      <w:r w:rsidR="00787893" w:rsidRPr="00E70BF3">
        <w:rPr>
          <w:rFonts w:cstheme="minorHAnsi"/>
        </w:rPr>
        <w:t xml:space="preserve">Ulaganja u </w:t>
      </w:r>
      <w:r w:rsidR="00787893" w:rsidRPr="00E70BF3">
        <w:rPr>
          <w:rStyle w:val="Strong"/>
          <w:rFonts w:cstheme="minorHAnsi"/>
        </w:rPr>
        <w:t>zelene tehnologije</w:t>
      </w:r>
      <w:r w:rsidR="00787893" w:rsidRPr="00E70BF3">
        <w:rPr>
          <w:rFonts w:cstheme="minorHAnsi"/>
        </w:rPr>
        <w:t xml:space="preserve"> uključuju instalaciju solarnih panela (1,46 MW), zamjenu postojećih kotlova novim energetskim sustavima, te smanjenje potrošnje fosilnih goriva u transportu. Ove mjere smanjuju emisiju CO2, koriste obnovljive izvore energije, i smanjuju troškove energije na dugoročnom nivou. Dodatno, planiramo smanjenje plastičnih materijala u pakiranjima, što doprinosi našoj ekološkoj odgovornosti i održivom poslovanju</w:t>
      </w:r>
      <w:r w:rsidRPr="00E70BF3">
        <w:rPr>
          <w:rFonts w:eastAsia="Times New Roman" w:cstheme="minorHAnsi"/>
          <w:lang w:eastAsia="hr-BA"/>
        </w:rPr>
        <w:t>.</w:t>
      </w:r>
    </w:p>
    <w:p w:rsidR="00972EE7" w:rsidRPr="00E70BF3" w:rsidRDefault="00972EE7" w:rsidP="00972EE7">
      <w:pPr>
        <w:spacing w:before="100" w:beforeAutospacing="1" w:after="100" w:afterAutospacing="1" w:line="240" w:lineRule="auto"/>
        <w:outlineLvl w:val="3"/>
        <w:rPr>
          <w:rFonts w:eastAsia="Times New Roman" w:cstheme="minorHAnsi"/>
          <w:b/>
          <w:bCs/>
          <w:lang w:eastAsia="hr-BA"/>
        </w:rPr>
      </w:pPr>
      <w:r w:rsidRPr="00E70BF3">
        <w:rPr>
          <w:rFonts w:eastAsia="Times New Roman" w:cstheme="minorHAnsi"/>
          <w:b/>
          <w:bCs/>
          <w:lang w:eastAsia="hr-BA"/>
        </w:rPr>
        <w:t>C. Unapr</w:t>
      </w:r>
      <w:r w:rsidR="001918B7" w:rsidRPr="00E70BF3">
        <w:rPr>
          <w:rFonts w:eastAsia="Times New Roman" w:cstheme="minorHAnsi"/>
          <w:b/>
          <w:bCs/>
          <w:lang w:eastAsia="hr-BA"/>
        </w:rPr>
        <w:t>i</w:t>
      </w:r>
      <w:r w:rsidRPr="00E70BF3">
        <w:rPr>
          <w:rFonts w:eastAsia="Times New Roman" w:cstheme="minorHAnsi"/>
          <w:b/>
          <w:bCs/>
          <w:lang w:eastAsia="hr-BA"/>
        </w:rPr>
        <w:t>jeđenje financijske stabilnosti</w:t>
      </w:r>
    </w:p>
    <w:p w:rsidR="00972EE7" w:rsidRPr="00E70BF3" w:rsidRDefault="00972EE7" w:rsidP="007A64F4">
      <w:pPr>
        <w:numPr>
          <w:ilvl w:val="0"/>
          <w:numId w:val="14"/>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Smanjenje kratkoročnih obveza</w:t>
      </w:r>
      <w:r w:rsidRPr="00E70BF3">
        <w:rPr>
          <w:rFonts w:eastAsia="Times New Roman" w:cstheme="minorHAnsi"/>
          <w:lang w:eastAsia="hr-BA"/>
        </w:rPr>
        <w:t>: S obzirom na rastuće kratkoročne obveze, cilj je kroz optimizaciju poslovnih operacija smanjiti kratkoročni dug i poboljšati likvidnost.</w:t>
      </w:r>
    </w:p>
    <w:p w:rsidR="00972EE7" w:rsidRPr="00E70BF3" w:rsidRDefault="00972EE7" w:rsidP="007A64F4">
      <w:pPr>
        <w:numPr>
          <w:ilvl w:val="0"/>
          <w:numId w:val="14"/>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Održavanje visokog kapitala</w:t>
      </w:r>
      <w:r w:rsidRPr="00E70BF3">
        <w:rPr>
          <w:rFonts w:eastAsia="Times New Roman" w:cstheme="minorHAnsi"/>
          <w:lang w:eastAsia="hr-BA"/>
        </w:rPr>
        <w:t>: Planiramo zadržati stabilan kapital kroz reinvestiranje dobiti, uz mogući povrat kapitala dioničarima kroz dividendu, ovisno o poslovnim rezultatima.</w:t>
      </w:r>
    </w:p>
    <w:p w:rsidR="00972EE7" w:rsidRPr="00E70BF3" w:rsidRDefault="00972EE7" w:rsidP="00972EE7">
      <w:pPr>
        <w:spacing w:before="100" w:beforeAutospacing="1" w:after="100" w:afterAutospacing="1" w:line="240" w:lineRule="auto"/>
        <w:outlineLvl w:val="3"/>
        <w:rPr>
          <w:rFonts w:eastAsia="Times New Roman" w:cstheme="minorHAnsi"/>
          <w:b/>
          <w:bCs/>
          <w:lang w:eastAsia="hr-BA"/>
        </w:rPr>
      </w:pPr>
      <w:r w:rsidRPr="00E70BF3">
        <w:rPr>
          <w:rFonts w:eastAsia="Times New Roman" w:cstheme="minorHAnsi"/>
          <w:b/>
          <w:bCs/>
          <w:lang w:eastAsia="hr-BA"/>
        </w:rPr>
        <w:t>D. Investicije u ljudski kapital i inovacije</w:t>
      </w:r>
    </w:p>
    <w:p w:rsidR="00972EE7" w:rsidRPr="00E70BF3" w:rsidRDefault="00972EE7" w:rsidP="007A64F4">
      <w:pPr>
        <w:numPr>
          <w:ilvl w:val="0"/>
          <w:numId w:val="15"/>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Obuka zaposlenika i razvoj lidera</w:t>
      </w:r>
      <w:r w:rsidRPr="00E70BF3">
        <w:rPr>
          <w:rFonts w:eastAsia="Times New Roman" w:cstheme="minorHAnsi"/>
          <w:lang w:eastAsia="hr-BA"/>
        </w:rPr>
        <w:t>: Investirati u edukaciju i razvoj menadžmenta i zaposlenika kako bi se stvorio inovativni tim sposoban za daljnji rast.</w:t>
      </w:r>
    </w:p>
    <w:p w:rsidR="00972EE7" w:rsidRPr="00E70BF3" w:rsidRDefault="00972EE7" w:rsidP="007A64F4">
      <w:pPr>
        <w:numPr>
          <w:ilvl w:val="0"/>
          <w:numId w:val="15"/>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Partnerstva i istraživanje</w:t>
      </w:r>
      <w:r w:rsidRPr="00E70BF3">
        <w:rPr>
          <w:rFonts w:eastAsia="Times New Roman" w:cstheme="minorHAnsi"/>
          <w:lang w:eastAsia="hr-BA"/>
        </w:rPr>
        <w:t>: Osnivanje strateških partnerstava s istraživačkim institucijama za razvoj novih proizvoda i održivih rješenja.</w:t>
      </w:r>
    </w:p>
    <w:p w:rsidR="00972EE7" w:rsidRPr="00E70BF3" w:rsidRDefault="00A00D7B" w:rsidP="00972EE7">
      <w:pPr>
        <w:spacing w:after="0" w:line="240" w:lineRule="auto"/>
        <w:rPr>
          <w:rFonts w:eastAsia="Times New Roman" w:cstheme="minorHAnsi"/>
          <w:lang w:eastAsia="hr-BA"/>
        </w:rPr>
      </w:pPr>
      <w:r>
        <w:rPr>
          <w:rFonts w:eastAsia="Times New Roman" w:cstheme="minorHAnsi"/>
          <w:lang w:eastAsia="hr-BA"/>
        </w:rPr>
        <w:pict>
          <v:rect id="_x0000_i1029" style="width:0;height:1.5pt" o:hralign="center" o:hrstd="t" o:hr="t" fillcolor="#a0a0a0" stroked="f"/>
        </w:pict>
      </w:r>
    </w:p>
    <w:p w:rsidR="00972EE7" w:rsidRPr="00E70BF3" w:rsidRDefault="00723BB8" w:rsidP="00972EE7">
      <w:pPr>
        <w:spacing w:before="100" w:beforeAutospacing="1" w:after="100" w:afterAutospacing="1" w:line="240" w:lineRule="auto"/>
        <w:outlineLvl w:val="2"/>
        <w:rPr>
          <w:rFonts w:eastAsia="Times New Roman" w:cstheme="minorHAnsi"/>
          <w:b/>
          <w:bCs/>
          <w:lang w:eastAsia="hr-BA"/>
        </w:rPr>
      </w:pPr>
      <w:r>
        <w:rPr>
          <w:rFonts w:eastAsia="Times New Roman" w:cstheme="minorHAnsi"/>
          <w:b/>
          <w:bCs/>
          <w:lang w:eastAsia="hr-BA"/>
        </w:rPr>
        <w:t>6</w:t>
      </w:r>
      <w:r w:rsidR="00972EE7" w:rsidRPr="00E70BF3">
        <w:rPr>
          <w:rFonts w:eastAsia="Times New Roman" w:cstheme="minorHAnsi"/>
          <w:b/>
          <w:bCs/>
          <w:lang w:eastAsia="hr-BA"/>
        </w:rPr>
        <w:t>. Operativne mjere i investicije</w:t>
      </w:r>
    </w:p>
    <w:p w:rsidR="00972EE7" w:rsidRPr="00E70BF3" w:rsidRDefault="00972EE7" w:rsidP="00972EE7">
      <w:pPr>
        <w:spacing w:before="100" w:beforeAutospacing="1" w:after="100" w:afterAutospacing="1" w:line="240" w:lineRule="auto"/>
        <w:rPr>
          <w:rFonts w:eastAsia="Times New Roman" w:cstheme="minorHAnsi"/>
          <w:lang w:eastAsia="hr-BA"/>
        </w:rPr>
      </w:pPr>
      <w:r w:rsidRPr="00E70BF3">
        <w:rPr>
          <w:rFonts w:eastAsia="Times New Roman" w:cstheme="minorHAnsi"/>
          <w:b/>
          <w:bCs/>
          <w:lang w:eastAsia="hr-BA"/>
        </w:rPr>
        <w:t>A. Proizvodnja i infrastruktura</w:t>
      </w:r>
    </w:p>
    <w:p w:rsidR="00AD6C84" w:rsidRPr="007A64F4" w:rsidRDefault="00AD6C84" w:rsidP="007A64F4">
      <w:pPr>
        <w:pStyle w:val="ListParagraph"/>
        <w:numPr>
          <w:ilvl w:val="0"/>
          <w:numId w:val="31"/>
        </w:numPr>
        <w:spacing w:before="100" w:beforeAutospacing="1" w:after="100" w:afterAutospacing="1" w:line="240" w:lineRule="auto"/>
        <w:jc w:val="both"/>
        <w:rPr>
          <w:rFonts w:eastAsia="Times New Roman" w:cstheme="minorHAnsi"/>
          <w:lang w:eastAsia="hr-BA"/>
        </w:rPr>
      </w:pPr>
      <w:r w:rsidRPr="007A64F4">
        <w:rPr>
          <w:rFonts w:eastAsia="Times New Roman" w:cstheme="minorHAnsi"/>
          <w:b/>
          <w:bCs/>
          <w:lang w:eastAsia="hr-BA"/>
        </w:rPr>
        <w:t>Investicije u proizvodne linije</w:t>
      </w:r>
      <w:r w:rsidRPr="007A64F4">
        <w:rPr>
          <w:rFonts w:eastAsia="Times New Roman" w:cstheme="minorHAnsi"/>
          <w:lang w:eastAsia="hr-BA"/>
        </w:rPr>
        <w:t xml:space="preserve">: Planiramo uložiti </w:t>
      </w:r>
      <w:r w:rsidRPr="007A64F4">
        <w:rPr>
          <w:rFonts w:eastAsia="Times New Roman" w:cstheme="minorHAnsi"/>
          <w:b/>
          <w:bCs/>
          <w:lang w:eastAsia="hr-BA"/>
        </w:rPr>
        <w:t>približno 7,5 milijuna KM</w:t>
      </w:r>
      <w:r w:rsidRPr="007A64F4">
        <w:rPr>
          <w:rFonts w:eastAsia="Times New Roman" w:cstheme="minorHAnsi"/>
          <w:lang w:eastAsia="hr-BA"/>
        </w:rPr>
        <w:t xml:space="preserve"> u modernizaciju proizvodnih postrojenja, uključujući zamjenu parnog i toplovodnog kotla, instalaciju novog rashladnog sistema i ugradnju automatskih sistema za praćenje potrošnje energenata. Ove investicije će omogućiti povećanje proizvodnih kapaciteta za </w:t>
      </w:r>
      <w:r w:rsidRPr="007A64F4">
        <w:rPr>
          <w:rFonts w:eastAsia="Times New Roman" w:cstheme="minorHAnsi"/>
          <w:b/>
          <w:bCs/>
          <w:lang w:eastAsia="hr-BA"/>
        </w:rPr>
        <w:t>15–20%</w:t>
      </w:r>
      <w:r w:rsidRPr="007A64F4">
        <w:rPr>
          <w:rFonts w:eastAsia="Times New Roman" w:cstheme="minorHAnsi"/>
          <w:lang w:eastAsia="hr-BA"/>
        </w:rPr>
        <w:t xml:space="preserve"> zahvaljujući boljoj energetskoj efikasnosti, većoj pouzdanosti i optimizaciji rada.</w:t>
      </w:r>
    </w:p>
    <w:p w:rsidR="00AD6C84" w:rsidRDefault="00AD6C84" w:rsidP="007A64F4">
      <w:pPr>
        <w:pStyle w:val="ListParagraph"/>
        <w:numPr>
          <w:ilvl w:val="0"/>
          <w:numId w:val="31"/>
        </w:numPr>
        <w:spacing w:before="100" w:beforeAutospacing="1" w:after="100" w:afterAutospacing="1" w:line="240" w:lineRule="auto"/>
        <w:jc w:val="both"/>
        <w:rPr>
          <w:rFonts w:eastAsia="Times New Roman" w:cstheme="minorHAnsi"/>
          <w:lang w:eastAsia="hr-BA"/>
        </w:rPr>
      </w:pPr>
      <w:r w:rsidRPr="007A64F4">
        <w:rPr>
          <w:rFonts w:eastAsia="Times New Roman" w:cstheme="minorHAnsi"/>
          <w:b/>
          <w:bCs/>
          <w:lang w:eastAsia="hr-BA"/>
        </w:rPr>
        <w:t>Ulaganja u zelene tehnologije</w:t>
      </w:r>
      <w:r w:rsidRPr="007A64F4">
        <w:rPr>
          <w:rFonts w:eastAsia="Times New Roman" w:cstheme="minorHAnsi"/>
          <w:lang w:eastAsia="hr-BA"/>
        </w:rPr>
        <w:t>: Predviđena ulaganja u solarnu energiju i smanjenje potrošnje fosilnih goriva za transport omogućit će značajno smanjenje operativnih troškova i povećanje energetske samodovoljnosti. Ove mjere također pridonose ekološkoj odgovornosti i smanjenju karbonskog otiska, podržavajući održivi rast.</w:t>
      </w:r>
    </w:p>
    <w:p w:rsidR="007A64F4" w:rsidRDefault="007A64F4" w:rsidP="007A64F4">
      <w:pPr>
        <w:spacing w:before="100" w:beforeAutospacing="1" w:after="100" w:afterAutospacing="1" w:line="240" w:lineRule="auto"/>
        <w:jc w:val="both"/>
        <w:rPr>
          <w:rFonts w:eastAsia="Times New Roman" w:cstheme="minorHAnsi"/>
          <w:lang w:eastAsia="hr-BA"/>
        </w:rPr>
      </w:pPr>
    </w:p>
    <w:p w:rsidR="007A64F4" w:rsidRPr="007A64F4" w:rsidRDefault="007A64F4" w:rsidP="007A64F4">
      <w:pPr>
        <w:spacing w:before="100" w:beforeAutospacing="1" w:after="100" w:afterAutospacing="1" w:line="240" w:lineRule="auto"/>
        <w:jc w:val="both"/>
        <w:rPr>
          <w:rFonts w:eastAsia="Times New Roman" w:cstheme="minorHAnsi"/>
          <w:lang w:eastAsia="hr-BA"/>
        </w:rPr>
      </w:pPr>
    </w:p>
    <w:p w:rsidR="00972EE7" w:rsidRPr="00E70BF3" w:rsidRDefault="00972EE7" w:rsidP="00972EE7">
      <w:pPr>
        <w:spacing w:before="100" w:beforeAutospacing="1" w:after="100" w:afterAutospacing="1" w:line="240" w:lineRule="auto"/>
        <w:rPr>
          <w:rFonts w:eastAsia="Times New Roman" w:cstheme="minorHAnsi"/>
          <w:lang w:eastAsia="hr-BA"/>
        </w:rPr>
      </w:pPr>
      <w:r w:rsidRPr="00E70BF3">
        <w:rPr>
          <w:rFonts w:eastAsia="Times New Roman" w:cstheme="minorHAnsi"/>
          <w:b/>
          <w:bCs/>
          <w:lang w:eastAsia="hr-BA"/>
        </w:rPr>
        <w:lastRenderedPageBreak/>
        <w:t>B. Marketing i distribucija</w:t>
      </w:r>
    </w:p>
    <w:p w:rsidR="00972EE7" w:rsidRPr="00E70BF3" w:rsidRDefault="00972EE7" w:rsidP="007A64F4">
      <w:pPr>
        <w:numPr>
          <w:ilvl w:val="0"/>
          <w:numId w:val="17"/>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Digitalna transformacija marketinga</w:t>
      </w:r>
      <w:r w:rsidRPr="00E70BF3">
        <w:rPr>
          <w:rFonts w:eastAsia="Times New Roman" w:cstheme="minorHAnsi"/>
          <w:lang w:eastAsia="hr-BA"/>
        </w:rPr>
        <w:t>: Razviti digitalne kanale prodaje i marketinga, uključujući e-commerce platforme i društvene mreže, kako bi se povećala prepoznatljivost brenda među mlađim potrošačima.</w:t>
      </w:r>
    </w:p>
    <w:p w:rsidR="00972EE7" w:rsidRPr="00E70BF3" w:rsidRDefault="00972EE7" w:rsidP="007A64F4">
      <w:pPr>
        <w:numPr>
          <w:ilvl w:val="0"/>
          <w:numId w:val="17"/>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Povećanje marketinškog budžeta</w:t>
      </w:r>
      <w:r w:rsidRPr="00E70BF3">
        <w:rPr>
          <w:rFonts w:eastAsia="Times New Roman" w:cstheme="minorHAnsi"/>
          <w:lang w:eastAsia="hr-BA"/>
        </w:rPr>
        <w:t>: Ulaganje u brand awareness, s ciljem širenja prepoznatljivosti na domaćem i međunarodnim tržištima.</w:t>
      </w:r>
    </w:p>
    <w:p w:rsidR="00972EE7" w:rsidRPr="00E70BF3" w:rsidRDefault="00972EE7" w:rsidP="00972EE7">
      <w:pPr>
        <w:spacing w:before="100" w:beforeAutospacing="1" w:after="100" w:afterAutospacing="1" w:line="240" w:lineRule="auto"/>
        <w:rPr>
          <w:rFonts w:eastAsia="Times New Roman" w:cstheme="minorHAnsi"/>
          <w:lang w:eastAsia="hr-BA"/>
        </w:rPr>
      </w:pPr>
      <w:r w:rsidRPr="00E70BF3">
        <w:rPr>
          <w:rFonts w:eastAsia="Times New Roman" w:cstheme="minorHAnsi"/>
          <w:b/>
          <w:bCs/>
          <w:lang w:eastAsia="hr-BA"/>
        </w:rPr>
        <w:t>C. R&amp;D i inovacije</w:t>
      </w:r>
    </w:p>
    <w:p w:rsidR="00787893" w:rsidRPr="00E70BF3" w:rsidRDefault="00787893" w:rsidP="007A64F4">
      <w:pPr>
        <w:pStyle w:val="ListParagraph"/>
        <w:numPr>
          <w:ilvl w:val="0"/>
          <w:numId w:val="18"/>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Osiguranje sredstava za inovacije</w:t>
      </w:r>
      <w:r w:rsidRPr="00E70BF3">
        <w:rPr>
          <w:rFonts w:eastAsia="Times New Roman" w:cstheme="minorHAnsi"/>
          <w:lang w:eastAsia="hr-BA"/>
        </w:rPr>
        <w:t>: Planiramo alocirati sredstva za istraživanje i razvoj novih proizvoda i tehnoloških inovacija, s posebnim fokusom na zdravlje potrošača i ekološke aspekte, uključujući ekološke alternative i funkcionalna pića.</w:t>
      </w:r>
    </w:p>
    <w:p w:rsidR="00972EE7" w:rsidRPr="00E70BF3" w:rsidRDefault="00787893" w:rsidP="007A64F4">
      <w:pPr>
        <w:pStyle w:val="ListParagraph"/>
        <w:numPr>
          <w:ilvl w:val="0"/>
          <w:numId w:val="18"/>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Istraživanje novih tržišta</w:t>
      </w:r>
      <w:r w:rsidRPr="00E70BF3">
        <w:rPr>
          <w:rFonts w:eastAsia="Times New Roman" w:cstheme="minorHAnsi"/>
          <w:lang w:eastAsia="hr-BA"/>
        </w:rPr>
        <w:t>: U fazi smo istraživanja mogućnosti za ulazak na tržišta EU i Azije, kako bismo testirali naše proizvode i procijenili potencijal za izvoz, s ciljem širenja poslovanja na nova tržišta.</w:t>
      </w:r>
    </w:p>
    <w:p w:rsidR="005F218B" w:rsidRPr="00E70BF3" w:rsidRDefault="00A00D7B" w:rsidP="005F218B">
      <w:pPr>
        <w:spacing w:after="0" w:line="240" w:lineRule="auto"/>
        <w:rPr>
          <w:rFonts w:eastAsia="Times New Roman" w:cstheme="minorHAnsi"/>
          <w:lang w:eastAsia="hr-BA"/>
        </w:rPr>
      </w:pPr>
      <w:r>
        <w:rPr>
          <w:rFonts w:eastAsia="Times New Roman" w:cstheme="minorHAnsi"/>
          <w:lang w:eastAsia="hr-BA"/>
        </w:rPr>
        <w:pict>
          <v:rect id="_x0000_i1030" style="width:0;height:1.5pt" o:hralign="center" o:hrstd="t" o:hr="t" fillcolor="#a0a0a0" stroked="f"/>
        </w:pict>
      </w:r>
    </w:p>
    <w:p w:rsidR="005F218B" w:rsidRPr="00E70BF3" w:rsidRDefault="00723BB8" w:rsidP="005F218B">
      <w:pPr>
        <w:spacing w:before="100" w:beforeAutospacing="1" w:after="100" w:afterAutospacing="1" w:line="240" w:lineRule="auto"/>
        <w:outlineLvl w:val="2"/>
        <w:rPr>
          <w:rFonts w:eastAsia="Times New Roman" w:cstheme="minorHAnsi"/>
          <w:b/>
          <w:bCs/>
          <w:lang w:eastAsia="hr-BA"/>
        </w:rPr>
      </w:pPr>
      <w:r>
        <w:rPr>
          <w:rFonts w:eastAsia="Times New Roman" w:cstheme="minorHAnsi"/>
          <w:b/>
          <w:bCs/>
          <w:lang w:eastAsia="hr-BA"/>
        </w:rPr>
        <w:t>7</w:t>
      </w:r>
      <w:r w:rsidR="005F218B" w:rsidRPr="00E70BF3">
        <w:rPr>
          <w:rFonts w:eastAsia="Times New Roman" w:cstheme="minorHAnsi"/>
          <w:b/>
          <w:bCs/>
          <w:lang w:eastAsia="hr-BA"/>
        </w:rPr>
        <w:t>. Plan koriš</w:t>
      </w:r>
      <w:r w:rsidR="00972EE7" w:rsidRPr="00E70BF3">
        <w:rPr>
          <w:rFonts w:eastAsia="Times New Roman" w:cstheme="minorHAnsi"/>
          <w:b/>
          <w:bCs/>
          <w:lang w:eastAsia="hr-BA"/>
        </w:rPr>
        <w:t>t</w:t>
      </w:r>
      <w:r w:rsidR="005F218B" w:rsidRPr="00E70BF3">
        <w:rPr>
          <w:rFonts w:eastAsia="Times New Roman" w:cstheme="minorHAnsi"/>
          <w:b/>
          <w:bCs/>
          <w:lang w:eastAsia="hr-BA"/>
        </w:rPr>
        <w:t>enja sredstava iz emisije obveznica</w:t>
      </w:r>
    </w:p>
    <w:p w:rsidR="005F218B" w:rsidRPr="00E70BF3" w:rsidRDefault="005F218B" w:rsidP="005F218B">
      <w:pPr>
        <w:spacing w:before="100" w:beforeAutospacing="1" w:after="100" w:afterAutospacing="1" w:line="240" w:lineRule="auto"/>
        <w:rPr>
          <w:rFonts w:eastAsia="Times New Roman" w:cstheme="minorHAnsi"/>
          <w:lang w:eastAsia="hr-BA"/>
        </w:rPr>
      </w:pPr>
      <w:r w:rsidRPr="00E70BF3">
        <w:rPr>
          <w:rFonts w:eastAsia="Times New Roman" w:cstheme="minorHAnsi"/>
          <w:b/>
          <w:bCs/>
          <w:lang w:eastAsia="hr-BA"/>
        </w:rPr>
        <w:t>Ukupna emisija obveznica:</w:t>
      </w:r>
      <w:r w:rsidRPr="00E70BF3">
        <w:rPr>
          <w:rFonts w:eastAsia="Times New Roman" w:cstheme="minorHAnsi"/>
          <w:lang w:eastAsia="hr-BA"/>
        </w:rPr>
        <w:t xml:space="preserve"> 1</w:t>
      </w:r>
      <w:r w:rsidR="00787893" w:rsidRPr="00E70BF3">
        <w:rPr>
          <w:rFonts w:eastAsia="Times New Roman" w:cstheme="minorHAnsi"/>
          <w:lang w:eastAsia="hr-BA"/>
        </w:rPr>
        <w:t>5</w:t>
      </w:r>
      <w:r w:rsidRPr="00E70BF3">
        <w:rPr>
          <w:rFonts w:eastAsia="Times New Roman" w:cstheme="minorHAnsi"/>
          <w:lang w:eastAsia="hr-BA"/>
        </w:rPr>
        <w:t>.000.000 KM</w:t>
      </w:r>
      <w:r w:rsidRPr="00E70BF3">
        <w:rPr>
          <w:rFonts w:eastAsia="Times New Roman" w:cstheme="minorHAnsi"/>
          <w:lang w:eastAsia="hr-BA"/>
        </w:rPr>
        <w:br/>
      </w:r>
      <w:r w:rsidRPr="00E70BF3">
        <w:rPr>
          <w:rFonts w:eastAsia="Times New Roman" w:cstheme="minorHAnsi"/>
          <w:b/>
          <w:bCs/>
          <w:lang w:eastAsia="hr-BA"/>
        </w:rPr>
        <w:t>Nominalna vrednost obveznice:</w:t>
      </w:r>
      <w:r w:rsidRPr="00E70BF3">
        <w:rPr>
          <w:rFonts w:eastAsia="Times New Roman" w:cstheme="minorHAnsi"/>
          <w:lang w:eastAsia="hr-BA"/>
        </w:rPr>
        <w:t xml:space="preserve"> 1.000 KM</w:t>
      </w:r>
      <w:r w:rsidRPr="00E70BF3">
        <w:rPr>
          <w:rFonts w:eastAsia="Times New Roman" w:cstheme="minorHAnsi"/>
          <w:lang w:eastAsia="hr-BA"/>
        </w:rPr>
        <w:br/>
      </w:r>
      <w:r w:rsidRPr="00E70BF3">
        <w:rPr>
          <w:rFonts w:eastAsia="Times New Roman" w:cstheme="minorHAnsi"/>
          <w:b/>
          <w:bCs/>
          <w:lang w:eastAsia="hr-BA"/>
        </w:rPr>
        <w:t>Kamatna stopa:</w:t>
      </w:r>
      <w:r w:rsidR="007A64F4">
        <w:rPr>
          <w:rFonts w:eastAsia="Times New Roman" w:cstheme="minorHAnsi"/>
          <w:b/>
          <w:bCs/>
          <w:lang w:eastAsia="hr-BA"/>
        </w:rPr>
        <w:t xml:space="preserve"> </w:t>
      </w:r>
      <w:r w:rsidR="00787893" w:rsidRPr="00E70BF3">
        <w:rPr>
          <w:rFonts w:eastAsia="Times New Roman" w:cstheme="minorHAnsi"/>
          <w:lang w:eastAsia="hr-BA"/>
        </w:rPr>
        <w:t>6,5</w:t>
      </w:r>
      <w:r w:rsidRPr="00E70BF3">
        <w:rPr>
          <w:rFonts w:eastAsia="Times New Roman" w:cstheme="minorHAnsi"/>
          <w:lang w:eastAsia="hr-BA"/>
        </w:rPr>
        <w:t>% godišnje</w:t>
      </w:r>
      <w:r w:rsidRPr="00E70BF3">
        <w:rPr>
          <w:rFonts w:eastAsia="Times New Roman" w:cstheme="minorHAnsi"/>
          <w:lang w:eastAsia="hr-BA"/>
        </w:rPr>
        <w:br/>
      </w:r>
      <w:r w:rsidRPr="00E70BF3">
        <w:rPr>
          <w:rFonts w:eastAsia="Times New Roman" w:cstheme="minorHAnsi"/>
          <w:b/>
          <w:bCs/>
          <w:lang w:eastAsia="hr-BA"/>
        </w:rPr>
        <w:t>Rok otplate:</w:t>
      </w:r>
      <w:r w:rsidRPr="00E70BF3">
        <w:rPr>
          <w:rFonts w:eastAsia="Times New Roman" w:cstheme="minorHAnsi"/>
          <w:lang w:eastAsia="hr-BA"/>
        </w:rPr>
        <w:t xml:space="preserve"> 5 godina (sa </w:t>
      </w:r>
      <w:r w:rsidR="00787893" w:rsidRPr="00E70BF3">
        <w:rPr>
          <w:rFonts w:eastAsia="Times New Roman" w:cstheme="minorHAnsi"/>
          <w:lang w:eastAsia="hr-BA"/>
        </w:rPr>
        <w:t>mjesečnim</w:t>
      </w:r>
      <w:r w:rsidRPr="00E70BF3">
        <w:rPr>
          <w:rFonts w:eastAsia="Times New Roman" w:cstheme="minorHAnsi"/>
          <w:lang w:eastAsia="hr-BA"/>
        </w:rPr>
        <w:t xml:space="preserve"> plaćanjem kamata i otplatom glavnice na kraju roka)</w:t>
      </w:r>
    </w:p>
    <w:p w:rsidR="005F218B" w:rsidRPr="00E70BF3" w:rsidRDefault="00723BB8" w:rsidP="005F218B">
      <w:pPr>
        <w:spacing w:before="100" w:beforeAutospacing="1" w:after="100" w:afterAutospacing="1" w:line="240" w:lineRule="auto"/>
        <w:outlineLvl w:val="3"/>
        <w:rPr>
          <w:rFonts w:eastAsia="Times New Roman" w:cstheme="minorHAnsi"/>
          <w:b/>
          <w:bCs/>
          <w:lang w:eastAsia="hr-BA"/>
        </w:rPr>
      </w:pPr>
      <w:r>
        <w:rPr>
          <w:rFonts w:eastAsia="Times New Roman" w:cstheme="minorHAnsi"/>
          <w:b/>
          <w:bCs/>
          <w:lang w:eastAsia="hr-BA"/>
        </w:rPr>
        <w:t>7</w:t>
      </w:r>
      <w:r w:rsidR="005F218B" w:rsidRPr="00E70BF3">
        <w:rPr>
          <w:rFonts w:eastAsia="Times New Roman" w:cstheme="minorHAnsi"/>
          <w:b/>
          <w:bCs/>
          <w:lang w:eastAsia="hr-BA"/>
        </w:rPr>
        <w:t>.1. Koriš</w:t>
      </w:r>
      <w:r w:rsidR="00972EE7" w:rsidRPr="00E70BF3">
        <w:rPr>
          <w:rFonts w:eastAsia="Times New Roman" w:cstheme="minorHAnsi"/>
          <w:b/>
          <w:bCs/>
          <w:lang w:eastAsia="hr-BA"/>
        </w:rPr>
        <w:t>t</w:t>
      </w:r>
      <w:r w:rsidR="005F218B" w:rsidRPr="00E70BF3">
        <w:rPr>
          <w:rFonts w:eastAsia="Times New Roman" w:cstheme="minorHAnsi"/>
          <w:b/>
          <w:bCs/>
          <w:lang w:eastAsia="hr-BA"/>
        </w:rPr>
        <w:t>enje sredstava prikupljenih od emisije obveznica:</w:t>
      </w:r>
    </w:p>
    <w:tbl>
      <w:tblPr>
        <w:tblW w:w="0" w:type="auto"/>
        <w:tblCellSpacing w:w="15" w:type="dxa"/>
        <w:tblBorders>
          <w:top w:val="double" w:sz="4" w:space="0" w:color="auto"/>
          <w:left w:val="double" w:sz="4" w:space="0" w:color="auto"/>
          <w:bottom w:val="double" w:sz="4" w:space="0" w:color="auto"/>
          <w:right w:val="double" w:sz="4" w:space="0" w:color="auto"/>
        </w:tblBorders>
        <w:tblCellMar>
          <w:top w:w="15" w:type="dxa"/>
          <w:left w:w="15" w:type="dxa"/>
          <w:bottom w:w="15" w:type="dxa"/>
          <w:right w:w="15" w:type="dxa"/>
        </w:tblCellMar>
        <w:tblLook w:val="04A0" w:firstRow="1" w:lastRow="0" w:firstColumn="1" w:lastColumn="0" w:noHBand="0" w:noVBand="1"/>
      </w:tblPr>
      <w:tblGrid>
        <w:gridCol w:w="3741"/>
        <w:gridCol w:w="1559"/>
      </w:tblGrid>
      <w:tr w:rsidR="005F218B" w:rsidRPr="00E70BF3" w:rsidTr="005B54AD">
        <w:trPr>
          <w:tblHeader/>
          <w:tblCellSpacing w:w="15" w:type="dxa"/>
        </w:trPr>
        <w:tc>
          <w:tcPr>
            <w:tcW w:w="3696" w:type="dxa"/>
            <w:vAlign w:val="center"/>
            <w:hideMark/>
          </w:tcPr>
          <w:p w:rsidR="005F218B" w:rsidRPr="00E70BF3" w:rsidRDefault="005F218B" w:rsidP="005F218B">
            <w:pPr>
              <w:spacing w:after="0" w:line="240" w:lineRule="auto"/>
              <w:jc w:val="center"/>
              <w:rPr>
                <w:rFonts w:eastAsia="Times New Roman" w:cstheme="minorHAnsi"/>
                <w:bCs/>
                <w:lang w:eastAsia="hr-BA"/>
              </w:rPr>
            </w:pPr>
            <w:r w:rsidRPr="00E70BF3">
              <w:rPr>
                <w:rFonts w:eastAsia="Times New Roman" w:cstheme="minorHAnsi"/>
                <w:bCs/>
                <w:lang w:eastAsia="hr-BA"/>
              </w:rPr>
              <w:t>Kategorija</w:t>
            </w:r>
          </w:p>
        </w:tc>
        <w:tc>
          <w:tcPr>
            <w:tcW w:w="1514" w:type="dxa"/>
            <w:vAlign w:val="center"/>
            <w:hideMark/>
          </w:tcPr>
          <w:p w:rsidR="005F218B" w:rsidRPr="00E70BF3" w:rsidRDefault="005F218B" w:rsidP="005F218B">
            <w:pPr>
              <w:spacing w:after="0" w:line="240" w:lineRule="auto"/>
              <w:jc w:val="center"/>
              <w:rPr>
                <w:rFonts w:eastAsia="Times New Roman" w:cstheme="minorHAnsi"/>
                <w:bCs/>
                <w:lang w:eastAsia="hr-BA"/>
              </w:rPr>
            </w:pPr>
            <w:r w:rsidRPr="00E70BF3">
              <w:rPr>
                <w:rFonts w:eastAsia="Times New Roman" w:cstheme="minorHAnsi"/>
                <w:bCs/>
                <w:lang w:eastAsia="hr-BA"/>
              </w:rPr>
              <w:t>Iznos (KM)</w:t>
            </w:r>
          </w:p>
        </w:tc>
      </w:tr>
      <w:tr w:rsidR="00787893" w:rsidRPr="00E70BF3" w:rsidTr="005B54AD">
        <w:trPr>
          <w:tblCellSpacing w:w="15" w:type="dxa"/>
        </w:trPr>
        <w:tc>
          <w:tcPr>
            <w:tcW w:w="3696" w:type="dxa"/>
            <w:vAlign w:val="bottom"/>
            <w:hideMark/>
          </w:tcPr>
          <w:p w:rsidR="00787893" w:rsidRPr="00E70BF3" w:rsidRDefault="00787893" w:rsidP="00787893">
            <w:pPr>
              <w:spacing w:after="0" w:line="240" w:lineRule="auto"/>
              <w:rPr>
                <w:rFonts w:eastAsia="Times New Roman" w:cstheme="minorHAnsi"/>
                <w:lang w:eastAsia="hr-BA"/>
              </w:rPr>
            </w:pPr>
            <w:r w:rsidRPr="00E70BF3">
              <w:rPr>
                <w:rFonts w:cstheme="minorHAnsi"/>
                <w:color w:val="000000"/>
              </w:rPr>
              <w:t>Energetski audit</w:t>
            </w:r>
          </w:p>
        </w:tc>
        <w:tc>
          <w:tcPr>
            <w:tcW w:w="1514" w:type="dxa"/>
            <w:vAlign w:val="center"/>
            <w:hideMark/>
          </w:tcPr>
          <w:p w:rsidR="00787893" w:rsidRPr="00E70BF3" w:rsidRDefault="00787893" w:rsidP="00787893">
            <w:pPr>
              <w:spacing w:after="0" w:line="240" w:lineRule="auto"/>
              <w:jc w:val="right"/>
              <w:rPr>
                <w:rFonts w:eastAsia="Times New Roman" w:cstheme="minorHAnsi"/>
                <w:lang w:eastAsia="hr-BA"/>
              </w:rPr>
            </w:pPr>
            <w:r w:rsidRPr="00E70BF3">
              <w:rPr>
                <w:rFonts w:eastAsia="Times New Roman" w:cstheme="minorHAnsi"/>
                <w:lang w:eastAsia="hr-BA"/>
              </w:rPr>
              <w:t>50.000</w:t>
            </w:r>
          </w:p>
        </w:tc>
      </w:tr>
      <w:tr w:rsidR="00787893" w:rsidRPr="00E70BF3" w:rsidTr="005B54AD">
        <w:trPr>
          <w:tblCellSpacing w:w="15" w:type="dxa"/>
        </w:trPr>
        <w:tc>
          <w:tcPr>
            <w:tcW w:w="3696" w:type="dxa"/>
            <w:vAlign w:val="bottom"/>
            <w:hideMark/>
          </w:tcPr>
          <w:p w:rsidR="00787893" w:rsidRPr="00E70BF3" w:rsidRDefault="00787893" w:rsidP="00787893">
            <w:pPr>
              <w:spacing w:after="0" w:line="240" w:lineRule="auto"/>
              <w:rPr>
                <w:rFonts w:eastAsia="Times New Roman" w:cstheme="minorHAnsi"/>
                <w:lang w:eastAsia="hr-BA"/>
              </w:rPr>
            </w:pPr>
            <w:r w:rsidRPr="00E70BF3">
              <w:rPr>
                <w:rFonts w:cstheme="minorHAnsi"/>
                <w:color w:val="000000"/>
              </w:rPr>
              <w:t>Projektovanje za energetsku efikasnost</w:t>
            </w:r>
          </w:p>
        </w:tc>
        <w:tc>
          <w:tcPr>
            <w:tcW w:w="1514" w:type="dxa"/>
            <w:vAlign w:val="center"/>
            <w:hideMark/>
          </w:tcPr>
          <w:p w:rsidR="00787893" w:rsidRPr="00E70BF3" w:rsidRDefault="00787893" w:rsidP="00787893">
            <w:pPr>
              <w:spacing w:after="0" w:line="240" w:lineRule="auto"/>
              <w:jc w:val="right"/>
              <w:rPr>
                <w:rFonts w:eastAsia="Times New Roman" w:cstheme="minorHAnsi"/>
                <w:lang w:eastAsia="hr-BA"/>
              </w:rPr>
            </w:pPr>
            <w:r w:rsidRPr="00E70BF3">
              <w:rPr>
                <w:rFonts w:eastAsia="Times New Roman" w:cstheme="minorHAnsi"/>
                <w:lang w:eastAsia="hr-BA"/>
              </w:rPr>
              <w:t>200.000</w:t>
            </w:r>
          </w:p>
        </w:tc>
      </w:tr>
      <w:tr w:rsidR="00787893" w:rsidRPr="00E70BF3" w:rsidTr="005B54AD">
        <w:trPr>
          <w:tblCellSpacing w:w="15" w:type="dxa"/>
        </w:trPr>
        <w:tc>
          <w:tcPr>
            <w:tcW w:w="3696" w:type="dxa"/>
            <w:vAlign w:val="bottom"/>
            <w:hideMark/>
          </w:tcPr>
          <w:p w:rsidR="00787893" w:rsidRPr="00E70BF3" w:rsidRDefault="00787893" w:rsidP="00787893">
            <w:pPr>
              <w:spacing w:after="0" w:line="240" w:lineRule="auto"/>
              <w:rPr>
                <w:rFonts w:eastAsia="Times New Roman" w:cstheme="minorHAnsi"/>
                <w:lang w:eastAsia="hr-BA"/>
              </w:rPr>
            </w:pPr>
            <w:r w:rsidRPr="00E70BF3">
              <w:rPr>
                <w:rFonts w:cstheme="minorHAnsi"/>
                <w:color w:val="000000"/>
              </w:rPr>
              <w:t>Rekonstrukcija postojećih instalacija</w:t>
            </w:r>
          </w:p>
        </w:tc>
        <w:tc>
          <w:tcPr>
            <w:tcW w:w="1514" w:type="dxa"/>
            <w:vAlign w:val="center"/>
            <w:hideMark/>
          </w:tcPr>
          <w:p w:rsidR="00787893" w:rsidRPr="00E70BF3" w:rsidRDefault="00787893" w:rsidP="00787893">
            <w:pPr>
              <w:spacing w:after="0" w:line="240" w:lineRule="auto"/>
              <w:jc w:val="right"/>
              <w:rPr>
                <w:rFonts w:eastAsia="Times New Roman" w:cstheme="minorHAnsi"/>
                <w:lang w:eastAsia="hr-BA"/>
              </w:rPr>
            </w:pPr>
            <w:r w:rsidRPr="00E70BF3">
              <w:rPr>
                <w:rFonts w:eastAsia="Times New Roman" w:cstheme="minorHAnsi"/>
                <w:lang w:eastAsia="hr-BA"/>
              </w:rPr>
              <w:t>500.000</w:t>
            </w:r>
          </w:p>
        </w:tc>
      </w:tr>
      <w:tr w:rsidR="00787893" w:rsidRPr="00E70BF3" w:rsidTr="005B54AD">
        <w:trPr>
          <w:tblCellSpacing w:w="15" w:type="dxa"/>
        </w:trPr>
        <w:tc>
          <w:tcPr>
            <w:tcW w:w="3696" w:type="dxa"/>
            <w:vAlign w:val="bottom"/>
            <w:hideMark/>
          </w:tcPr>
          <w:p w:rsidR="00787893" w:rsidRPr="00E70BF3" w:rsidRDefault="00787893" w:rsidP="00787893">
            <w:pPr>
              <w:spacing w:after="0" w:line="240" w:lineRule="auto"/>
              <w:rPr>
                <w:rFonts w:eastAsia="Times New Roman" w:cstheme="minorHAnsi"/>
                <w:lang w:eastAsia="hr-BA"/>
              </w:rPr>
            </w:pPr>
            <w:r w:rsidRPr="00E70BF3">
              <w:rPr>
                <w:rFonts w:cstheme="minorHAnsi"/>
                <w:color w:val="000000"/>
              </w:rPr>
              <w:t>Automatizacija vodosnabdijevanja i monitoring otpadnih voda</w:t>
            </w:r>
          </w:p>
        </w:tc>
        <w:tc>
          <w:tcPr>
            <w:tcW w:w="1514" w:type="dxa"/>
            <w:vAlign w:val="center"/>
            <w:hideMark/>
          </w:tcPr>
          <w:p w:rsidR="00787893" w:rsidRPr="00E70BF3" w:rsidRDefault="00787893" w:rsidP="00787893">
            <w:pPr>
              <w:spacing w:after="0" w:line="240" w:lineRule="auto"/>
              <w:jc w:val="right"/>
              <w:rPr>
                <w:rFonts w:eastAsia="Times New Roman" w:cstheme="minorHAnsi"/>
                <w:lang w:eastAsia="hr-BA"/>
              </w:rPr>
            </w:pPr>
            <w:r w:rsidRPr="00E70BF3">
              <w:rPr>
                <w:rFonts w:eastAsia="Times New Roman" w:cstheme="minorHAnsi"/>
                <w:lang w:eastAsia="hr-BA"/>
              </w:rPr>
              <w:t>250.000</w:t>
            </w:r>
          </w:p>
        </w:tc>
      </w:tr>
      <w:tr w:rsidR="00787893" w:rsidRPr="00E70BF3" w:rsidTr="005B54AD">
        <w:trPr>
          <w:tblCellSpacing w:w="15" w:type="dxa"/>
        </w:trPr>
        <w:tc>
          <w:tcPr>
            <w:tcW w:w="3696" w:type="dxa"/>
            <w:vAlign w:val="bottom"/>
            <w:hideMark/>
          </w:tcPr>
          <w:p w:rsidR="00787893" w:rsidRPr="00E70BF3" w:rsidRDefault="00787893" w:rsidP="00787893">
            <w:pPr>
              <w:spacing w:after="0" w:line="240" w:lineRule="auto"/>
              <w:rPr>
                <w:rFonts w:eastAsia="Times New Roman" w:cstheme="minorHAnsi"/>
                <w:lang w:eastAsia="hr-BA"/>
              </w:rPr>
            </w:pPr>
            <w:r w:rsidRPr="00E70BF3">
              <w:rPr>
                <w:rFonts w:cstheme="minorHAnsi"/>
                <w:color w:val="000000"/>
              </w:rPr>
              <w:t>Parni i toplotni kotao</w:t>
            </w:r>
          </w:p>
        </w:tc>
        <w:tc>
          <w:tcPr>
            <w:tcW w:w="1514" w:type="dxa"/>
            <w:vAlign w:val="center"/>
            <w:hideMark/>
          </w:tcPr>
          <w:p w:rsidR="00787893" w:rsidRPr="00E70BF3" w:rsidRDefault="00787893" w:rsidP="00787893">
            <w:pPr>
              <w:spacing w:after="0" w:line="240" w:lineRule="auto"/>
              <w:jc w:val="right"/>
              <w:rPr>
                <w:rFonts w:eastAsia="Times New Roman" w:cstheme="minorHAnsi"/>
                <w:lang w:eastAsia="hr-BA"/>
              </w:rPr>
            </w:pPr>
            <w:r w:rsidRPr="00E70BF3">
              <w:rPr>
                <w:rFonts w:eastAsia="Times New Roman" w:cstheme="minorHAnsi"/>
                <w:lang w:eastAsia="hr-BA"/>
              </w:rPr>
              <w:t>1.</w:t>
            </w:r>
            <w:r w:rsidR="0099679B" w:rsidRPr="00E70BF3">
              <w:rPr>
                <w:rFonts w:eastAsia="Times New Roman" w:cstheme="minorHAnsi"/>
                <w:lang w:eastAsia="hr-BA"/>
              </w:rPr>
              <w:t>0</w:t>
            </w:r>
            <w:r w:rsidRPr="00E70BF3">
              <w:rPr>
                <w:rFonts w:eastAsia="Times New Roman" w:cstheme="minorHAnsi"/>
                <w:lang w:eastAsia="hr-BA"/>
              </w:rPr>
              <w:t>00.000</w:t>
            </w:r>
          </w:p>
        </w:tc>
      </w:tr>
      <w:tr w:rsidR="00787893" w:rsidRPr="00E70BF3" w:rsidTr="005B54AD">
        <w:trPr>
          <w:tblCellSpacing w:w="15" w:type="dxa"/>
        </w:trPr>
        <w:tc>
          <w:tcPr>
            <w:tcW w:w="3696" w:type="dxa"/>
            <w:vAlign w:val="bottom"/>
            <w:hideMark/>
          </w:tcPr>
          <w:p w:rsidR="00787893" w:rsidRPr="00E70BF3" w:rsidRDefault="00787893" w:rsidP="00787893">
            <w:pPr>
              <w:spacing w:after="0" w:line="240" w:lineRule="auto"/>
              <w:rPr>
                <w:rFonts w:eastAsia="Times New Roman" w:cstheme="minorHAnsi"/>
                <w:lang w:eastAsia="hr-BA"/>
              </w:rPr>
            </w:pPr>
            <w:r w:rsidRPr="00E70BF3">
              <w:rPr>
                <w:rFonts w:cstheme="minorHAnsi"/>
                <w:color w:val="000000"/>
              </w:rPr>
              <w:t>Solarni energetski sistem</w:t>
            </w:r>
          </w:p>
        </w:tc>
        <w:tc>
          <w:tcPr>
            <w:tcW w:w="1514" w:type="dxa"/>
            <w:vAlign w:val="center"/>
            <w:hideMark/>
          </w:tcPr>
          <w:p w:rsidR="00787893" w:rsidRPr="00E70BF3" w:rsidRDefault="0099679B" w:rsidP="00787893">
            <w:pPr>
              <w:spacing w:after="0" w:line="240" w:lineRule="auto"/>
              <w:jc w:val="right"/>
              <w:rPr>
                <w:rFonts w:eastAsia="Times New Roman" w:cstheme="minorHAnsi"/>
                <w:lang w:eastAsia="hr-BA"/>
              </w:rPr>
            </w:pPr>
            <w:r w:rsidRPr="00E70BF3">
              <w:rPr>
                <w:rFonts w:eastAsia="Times New Roman" w:cstheme="minorHAnsi"/>
                <w:lang w:eastAsia="hr-BA"/>
              </w:rPr>
              <w:t>3.110</w:t>
            </w:r>
            <w:r w:rsidR="00787893" w:rsidRPr="00E70BF3">
              <w:rPr>
                <w:rFonts w:eastAsia="Times New Roman" w:cstheme="minorHAnsi"/>
                <w:lang w:eastAsia="hr-BA"/>
              </w:rPr>
              <w:t>.000</w:t>
            </w:r>
          </w:p>
        </w:tc>
      </w:tr>
      <w:tr w:rsidR="00787893" w:rsidRPr="00E70BF3" w:rsidTr="005B54AD">
        <w:trPr>
          <w:tblCellSpacing w:w="15" w:type="dxa"/>
        </w:trPr>
        <w:tc>
          <w:tcPr>
            <w:tcW w:w="3696" w:type="dxa"/>
            <w:vAlign w:val="bottom"/>
          </w:tcPr>
          <w:p w:rsidR="00787893" w:rsidRPr="00E70BF3" w:rsidRDefault="00787893" w:rsidP="00787893">
            <w:pPr>
              <w:spacing w:after="0" w:line="240" w:lineRule="auto"/>
              <w:rPr>
                <w:rFonts w:eastAsia="Times New Roman" w:cstheme="minorHAnsi"/>
                <w:bCs/>
                <w:lang w:eastAsia="hr-BA"/>
              </w:rPr>
            </w:pPr>
            <w:r w:rsidRPr="00E70BF3">
              <w:rPr>
                <w:rFonts w:cstheme="minorHAnsi"/>
                <w:color w:val="000000"/>
              </w:rPr>
              <w:t>Rashladni sistem</w:t>
            </w:r>
          </w:p>
        </w:tc>
        <w:tc>
          <w:tcPr>
            <w:tcW w:w="1514" w:type="dxa"/>
            <w:vAlign w:val="center"/>
          </w:tcPr>
          <w:p w:rsidR="00787893" w:rsidRPr="00E70BF3" w:rsidRDefault="0099679B" w:rsidP="00787893">
            <w:pPr>
              <w:spacing w:after="0" w:line="240" w:lineRule="auto"/>
              <w:jc w:val="right"/>
              <w:rPr>
                <w:rFonts w:eastAsia="Times New Roman" w:cstheme="minorHAnsi"/>
                <w:lang w:eastAsia="hr-BA"/>
              </w:rPr>
            </w:pPr>
            <w:r w:rsidRPr="00E70BF3">
              <w:rPr>
                <w:rFonts w:eastAsia="Times New Roman" w:cstheme="minorHAnsi"/>
                <w:lang w:eastAsia="hr-BA"/>
              </w:rPr>
              <w:t>1.700.000</w:t>
            </w:r>
          </w:p>
        </w:tc>
      </w:tr>
      <w:tr w:rsidR="00787893" w:rsidRPr="00E70BF3" w:rsidTr="005B54AD">
        <w:trPr>
          <w:tblCellSpacing w:w="15" w:type="dxa"/>
        </w:trPr>
        <w:tc>
          <w:tcPr>
            <w:tcW w:w="3696" w:type="dxa"/>
            <w:vAlign w:val="bottom"/>
          </w:tcPr>
          <w:p w:rsidR="00787893" w:rsidRPr="00E70BF3" w:rsidRDefault="00787893" w:rsidP="00787893">
            <w:pPr>
              <w:spacing w:after="0" w:line="240" w:lineRule="auto"/>
              <w:rPr>
                <w:rFonts w:eastAsia="Times New Roman" w:cstheme="minorHAnsi"/>
                <w:bCs/>
                <w:lang w:eastAsia="hr-BA"/>
              </w:rPr>
            </w:pPr>
            <w:r w:rsidRPr="00E70BF3">
              <w:rPr>
                <w:rFonts w:cstheme="minorHAnsi"/>
                <w:color w:val="000000"/>
              </w:rPr>
              <w:t>Nabavka novog software-a braumat</w:t>
            </w:r>
          </w:p>
        </w:tc>
        <w:tc>
          <w:tcPr>
            <w:tcW w:w="1514" w:type="dxa"/>
            <w:vAlign w:val="center"/>
          </w:tcPr>
          <w:p w:rsidR="00787893" w:rsidRPr="00E70BF3" w:rsidRDefault="0099679B" w:rsidP="00787893">
            <w:pPr>
              <w:spacing w:after="0" w:line="240" w:lineRule="auto"/>
              <w:jc w:val="right"/>
              <w:rPr>
                <w:rFonts w:eastAsia="Times New Roman" w:cstheme="minorHAnsi"/>
                <w:lang w:eastAsia="hr-BA"/>
              </w:rPr>
            </w:pPr>
            <w:r w:rsidRPr="00E70BF3">
              <w:rPr>
                <w:rFonts w:eastAsia="Times New Roman" w:cstheme="minorHAnsi"/>
                <w:lang w:eastAsia="hr-BA"/>
              </w:rPr>
              <w:t>1.000.000</w:t>
            </w:r>
          </w:p>
        </w:tc>
      </w:tr>
      <w:tr w:rsidR="00787893" w:rsidRPr="00E70BF3" w:rsidTr="005B54AD">
        <w:trPr>
          <w:tblCellSpacing w:w="15" w:type="dxa"/>
        </w:trPr>
        <w:tc>
          <w:tcPr>
            <w:tcW w:w="3696" w:type="dxa"/>
            <w:vAlign w:val="bottom"/>
          </w:tcPr>
          <w:p w:rsidR="00787893" w:rsidRPr="00E70BF3" w:rsidRDefault="00787893" w:rsidP="00787893">
            <w:pPr>
              <w:spacing w:after="0" w:line="240" w:lineRule="auto"/>
              <w:rPr>
                <w:rFonts w:eastAsia="Times New Roman" w:cstheme="minorHAnsi"/>
                <w:bCs/>
                <w:lang w:eastAsia="hr-BA"/>
              </w:rPr>
            </w:pPr>
            <w:r w:rsidRPr="00E70BF3">
              <w:rPr>
                <w:rFonts w:cstheme="minorHAnsi"/>
                <w:color w:val="000000"/>
              </w:rPr>
              <w:t>WMS sistem i automatsko označavanje paleta</w:t>
            </w:r>
          </w:p>
        </w:tc>
        <w:tc>
          <w:tcPr>
            <w:tcW w:w="1514" w:type="dxa"/>
            <w:vAlign w:val="center"/>
          </w:tcPr>
          <w:p w:rsidR="00787893" w:rsidRPr="00E70BF3" w:rsidRDefault="0099679B" w:rsidP="00787893">
            <w:pPr>
              <w:spacing w:after="0" w:line="240" w:lineRule="auto"/>
              <w:jc w:val="right"/>
              <w:rPr>
                <w:rFonts w:eastAsia="Times New Roman" w:cstheme="minorHAnsi"/>
                <w:lang w:eastAsia="hr-BA"/>
              </w:rPr>
            </w:pPr>
            <w:r w:rsidRPr="00E70BF3">
              <w:rPr>
                <w:rFonts w:eastAsia="Times New Roman" w:cstheme="minorHAnsi"/>
                <w:lang w:eastAsia="hr-BA"/>
              </w:rPr>
              <w:t>500.000</w:t>
            </w:r>
          </w:p>
        </w:tc>
      </w:tr>
      <w:tr w:rsidR="00787893" w:rsidRPr="00E70BF3" w:rsidTr="005B54AD">
        <w:trPr>
          <w:tblCellSpacing w:w="15" w:type="dxa"/>
        </w:trPr>
        <w:tc>
          <w:tcPr>
            <w:tcW w:w="3696" w:type="dxa"/>
            <w:vAlign w:val="bottom"/>
          </w:tcPr>
          <w:p w:rsidR="00787893" w:rsidRPr="00E70BF3" w:rsidRDefault="00787893" w:rsidP="00787893">
            <w:pPr>
              <w:spacing w:after="0" w:line="240" w:lineRule="auto"/>
              <w:rPr>
                <w:rFonts w:eastAsia="Times New Roman" w:cstheme="minorHAnsi"/>
                <w:bCs/>
                <w:lang w:eastAsia="hr-BA"/>
              </w:rPr>
            </w:pPr>
            <w:r w:rsidRPr="00E70BF3">
              <w:rPr>
                <w:rFonts w:cstheme="minorHAnsi"/>
                <w:color w:val="000000"/>
              </w:rPr>
              <w:t>Visoko regalno skladište</w:t>
            </w:r>
          </w:p>
        </w:tc>
        <w:tc>
          <w:tcPr>
            <w:tcW w:w="1514" w:type="dxa"/>
            <w:vAlign w:val="center"/>
          </w:tcPr>
          <w:p w:rsidR="00787893" w:rsidRPr="00E70BF3" w:rsidRDefault="0099679B" w:rsidP="00787893">
            <w:pPr>
              <w:spacing w:after="0" w:line="240" w:lineRule="auto"/>
              <w:jc w:val="right"/>
              <w:rPr>
                <w:rFonts w:eastAsia="Times New Roman" w:cstheme="minorHAnsi"/>
                <w:lang w:eastAsia="hr-BA"/>
              </w:rPr>
            </w:pPr>
            <w:r w:rsidRPr="00E70BF3">
              <w:rPr>
                <w:rFonts w:eastAsia="Times New Roman" w:cstheme="minorHAnsi"/>
                <w:lang w:eastAsia="hr-BA"/>
              </w:rPr>
              <w:t>2.350.000</w:t>
            </w:r>
          </w:p>
        </w:tc>
      </w:tr>
      <w:tr w:rsidR="00787893" w:rsidRPr="00E70BF3" w:rsidTr="005B54AD">
        <w:trPr>
          <w:tblCellSpacing w:w="15" w:type="dxa"/>
        </w:trPr>
        <w:tc>
          <w:tcPr>
            <w:tcW w:w="3696" w:type="dxa"/>
            <w:vAlign w:val="bottom"/>
          </w:tcPr>
          <w:p w:rsidR="00787893" w:rsidRPr="00E70BF3" w:rsidRDefault="00787893" w:rsidP="00787893">
            <w:pPr>
              <w:spacing w:after="0" w:line="240" w:lineRule="auto"/>
              <w:rPr>
                <w:rFonts w:eastAsia="Times New Roman" w:cstheme="minorHAnsi"/>
                <w:bCs/>
                <w:lang w:eastAsia="hr-BA"/>
              </w:rPr>
            </w:pPr>
            <w:r w:rsidRPr="00E70BF3">
              <w:rPr>
                <w:rFonts w:cstheme="minorHAnsi"/>
                <w:color w:val="000000"/>
              </w:rPr>
              <w:t>Nabavka novih vozila za distribuciju  i komercijalu</w:t>
            </w:r>
          </w:p>
        </w:tc>
        <w:tc>
          <w:tcPr>
            <w:tcW w:w="1514" w:type="dxa"/>
            <w:vAlign w:val="center"/>
          </w:tcPr>
          <w:p w:rsidR="00787893" w:rsidRPr="00E70BF3" w:rsidRDefault="0099679B" w:rsidP="00787893">
            <w:pPr>
              <w:spacing w:after="0" w:line="240" w:lineRule="auto"/>
              <w:jc w:val="right"/>
              <w:rPr>
                <w:rFonts w:eastAsia="Times New Roman" w:cstheme="minorHAnsi"/>
                <w:lang w:eastAsia="hr-BA"/>
              </w:rPr>
            </w:pPr>
            <w:r w:rsidRPr="00E70BF3">
              <w:rPr>
                <w:rFonts w:eastAsia="Times New Roman" w:cstheme="minorHAnsi"/>
                <w:lang w:eastAsia="hr-BA"/>
              </w:rPr>
              <w:t>2.340.000</w:t>
            </w:r>
          </w:p>
        </w:tc>
      </w:tr>
      <w:tr w:rsidR="00787893" w:rsidRPr="00E70BF3" w:rsidTr="005B54AD">
        <w:trPr>
          <w:tblCellSpacing w:w="15" w:type="dxa"/>
        </w:trPr>
        <w:tc>
          <w:tcPr>
            <w:tcW w:w="3696" w:type="dxa"/>
            <w:vAlign w:val="center"/>
          </w:tcPr>
          <w:p w:rsidR="00787893" w:rsidRPr="00E70BF3" w:rsidRDefault="00787893" w:rsidP="005F218B">
            <w:pPr>
              <w:spacing w:after="0" w:line="240" w:lineRule="auto"/>
              <w:rPr>
                <w:rFonts w:eastAsia="Times New Roman" w:cstheme="minorHAnsi"/>
                <w:bCs/>
                <w:lang w:eastAsia="hr-BA"/>
              </w:rPr>
            </w:pPr>
            <w:r w:rsidRPr="00E70BF3">
              <w:rPr>
                <w:rFonts w:eastAsia="Times New Roman" w:cstheme="minorHAnsi"/>
                <w:bCs/>
                <w:lang w:eastAsia="hr-BA"/>
              </w:rPr>
              <w:t>Marketing i edukacija</w:t>
            </w:r>
          </w:p>
        </w:tc>
        <w:tc>
          <w:tcPr>
            <w:tcW w:w="1514" w:type="dxa"/>
            <w:vAlign w:val="center"/>
          </w:tcPr>
          <w:p w:rsidR="00787893" w:rsidRPr="00E70BF3" w:rsidRDefault="00787893" w:rsidP="00972EE7">
            <w:pPr>
              <w:spacing w:after="0" w:line="240" w:lineRule="auto"/>
              <w:jc w:val="right"/>
              <w:rPr>
                <w:rFonts w:eastAsia="Times New Roman" w:cstheme="minorHAnsi"/>
                <w:lang w:eastAsia="hr-BA"/>
              </w:rPr>
            </w:pPr>
            <w:r w:rsidRPr="00E70BF3">
              <w:rPr>
                <w:rFonts w:eastAsia="Times New Roman" w:cstheme="minorHAnsi"/>
                <w:lang w:eastAsia="hr-BA"/>
              </w:rPr>
              <w:t>2.000.000</w:t>
            </w:r>
          </w:p>
        </w:tc>
      </w:tr>
      <w:tr w:rsidR="005F218B" w:rsidRPr="00E70BF3" w:rsidTr="005B54AD">
        <w:trPr>
          <w:tblCellSpacing w:w="15" w:type="dxa"/>
        </w:trPr>
        <w:tc>
          <w:tcPr>
            <w:tcW w:w="3696" w:type="dxa"/>
            <w:vAlign w:val="center"/>
            <w:hideMark/>
          </w:tcPr>
          <w:p w:rsidR="005F218B" w:rsidRPr="00E70BF3" w:rsidRDefault="005F218B" w:rsidP="005F218B">
            <w:pPr>
              <w:spacing w:after="0" w:line="240" w:lineRule="auto"/>
              <w:rPr>
                <w:rFonts w:eastAsia="Times New Roman" w:cstheme="minorHAnsi"/>
                <w:lang w:eastAsia="hr-BA"/>
              </w:rPr>
            </w:pPr>
            <w:r w:rsidRPr="00E70BF3">
              <w:rPr>
                <w:rFonts w:eastAsia="Times New Roman" w:cstheme="minorHAnsi"/>
                <w:bCs/>
                <w:lang w:eastAsia="hr-BA"/>
              </w:rPr>
              <w:t>Ukupno</w:t>
            </w:r>
          </w:p>
        </w:tc>
        <w:tc>
          <w:tcPr>
            <w:tcW w:w="1514" w:type="dxa"/>
            <w:vAlign w:val="center"/>
            <w:hideMark/>
          </w:tcPr>
          <w:p w:rsidR="005F218B" w:rsidRPr="00E70BF3" w:rsidRDefault="005F218B" w:rsidP="00972EE7">
            <w:pPr>
              <w:spacing w:after="0" w:line="240" w:lineRule="auto"/>
              <w:jc w:val="right"/>
              <w:rPr>
                <w:rFonts w:eastAsia="Times New Roman" w:cstheme="minorHAnsi"/>
                <w:lang w:eastAsia="hr-BA"/>
              </w:rPr>
            </w:pPr>
            <w:r w:rsidRPr="00E70BF3">
              <w:rPr>
                <w:rFonts w:eastAsia="Times New Roman" w:cstheme="minorHAnsi"/>
                <w:bCs/>
                <w:lang w:eastAsia="hr-BA"/>
              </w:rPr>
              <w:t>1</w:t>
            </w:r>
            <w:r w:rsidR="0099679B" w:rsidRPr="00E70BF3">
              <w:rPr>
                <w:rFonts w:eastAsia="Times New Roman" w:cstheme="minorHAnsi"/>
                <w:bCs/>
                <w:lang w:eastAsia="hr-BA"/>
              </w:rPr>
              <w:t>5</w:t>
            </w:r>
            <w:r w:rsidRPr="00E70BF3">
              <w:rPr>
                <w:rFonts w:eastAsia="Times New Roman" w:cstheme="minorHAnsi"/>
                <w:bCs/>
                <w:lang w:eastAsia="hr-BA"/>
              </w:rPr>
              <w:t>.000.000</w:t>
            </w:r>
          </w:p>
        </w:tc>
      </w:tr>
    </w:tbl>
    <w:p w:rsidR="00046537" w:rsidRPr="007A64F4" w:rsidRDefault="007A64F4" w:rsidP="005F218B">
      <w:pPr>
        <w:spacing w:before="100" w:beforeAutospacing="1" w:after="100" w:afterAutospacing="1" w:line="240" w:lineRule="auto"/>
        <w:outlineLvl w:val="3"/>
        <w:rPr>
          <w:rFonts w:eastAsia="Times New Roman" w:cstheme="minorHAnsi"/>
          <w:bCs/>
          <w:lang w:eastAsia="hr-BA"/>
        </w:rPr>
      </w:pPr>
      <w:r>
        <w:rPr>
          <w:rFonts w:eastAsia="Times New Roman" w:cstheme="minorHAnsi"/>
          <w:bCs/>
          <w:lang w:eastAsia="hr-BA"/>
        </w:rPr>
        <w:t>*</w:t>
      </w:r>
      <w:r w:rsidRPr="007A64F4">
        <w:rPr>
          <w:rFonts w:eastAsia="Times New Roman" w:cstheme="minorHAnsi"/>
          <w:bCs/>
          <w:i/>
          <w:sz w:val="18"/>
          <w:szCs w:val="18"/>
          <w:lang w:eastAsia="hr-BA"/>
        </w:rPr>
        <w:t>Detaljan prikaz korištenaj sredstva preikazan je u Biznis planu ulaganja koji je sastavni dio ovog elaborata</w:t>
      </w:r>
    </w:p>
    <w:p w:rsidR="005F218B" w:rsidRPr="00E70BF3" w:rsidRDefault="00723BB8" w:rsidP="005F218B">
      <w:pPr>
        <w:spacing w:before="100" w:beforeAutospacing="1" w:after="100" w:afterAutospacing="1" w:line="240" w:lineRule="auto"/>
        <w:outlineLvl w:val="3"/>
        <w:rPr>
          <w:rFonts w:eastAsia="Times New Roman" w:cstheme="minorHAnsi"/>
          <w:b/>
          <w:bCs/>
          <w:lang w:eastAsia="hr-BA"/>
        </w:rPr>
      </w:pPr>
      <w:r>
        <w:rPr>
          <w:rFonts w:eastAsia="Times New Roman" w:cstheme="minorHAnsi"/>
          <w:b/>
          <w:bCs/>
          <w:lang w:eastAsia="hr-BA"/>
        </w:rPr>
        <w:lastRenderedPageBreak/>
        <w:t>7</w:t>
      </w:r>
      <w:r w:rsidR="005F218B" w:rsidRPr="00E70BF3">
        <w:rPr>
          <w:rFonts w:eastAsia="Times New Roman" w:cstheme="minorHAnsi"/>
          <w:b/>
          <w:bCs/>
          <w:lang w:eastAsia="hr-BA"/>
        </w:rPr>
        <w:t>.2. Otplata kamata i glavnice obveznica</w:t>
      </w:r>
    </w:p>
    <w:p w:rsidR="005F218B" w:rsidRPr="00E70BF3" w:rsidRDefault="005F218B" w:rsidP="007A64F4">
      <w:pPr>
        <w:numPr>
          <w:ilvl w:val="0"/>
          <w:numId w:val="5"/>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Kamata:</w:t>
      </w:r>
      <w:r w:rsidRPr="00E70BF3">
        <w:rPr>
          <w:rFonts w:eastAsia="Times New Roman" w:cstheme="minorHAnsi"/>
          <w:lang w:eastAsia="hr-BA"/>
        </w:rPr>
        <w:t xml:space="preserve"> Kamata na obveznice iznosi </w:t>
      </w:r>
      <w:r w:rsidR="0099679B" w:rsidRPr="00E70BF3">
        <w:rPr>
          <w:rFonts w:eastAsia="Times New Roman" w:cstheme="minorHAnsi"/>
          <w:lang w:eastAsia="hr-BA"/>
        </w:rPr>
        <w:t>6,5</w:t>
      </w:r>
      <w:r w:rsidRPr="00E70BF3">
        <w:rPr>
          <w:rFonts w:eastAsia="Times New Roman" w:cstheme="minorHAnsi"/>
          <w:lang w:eastAsia="hr-BA"/>
        </w:rPr>
        <w:t xml:space="preserve">% godišnje, što znači da će godišnja isplata kamata biti </w:t>
      </w:r>
      <w:r w:rsidR="0099679B" w:rsidRPr="00E70BF3">
        <w:rPr>
          <w:rFonts w:eastAsia="Times New Roman" w:cstheme="minorHAnsi"/>
          <w:lang w:eastAsia="hr-BA"/>
        </w:rPr>
        <w:t>975.000</w:t>
      </w:r>
      <w:r w:rsidRPr="00E70BF3">
        <w:rPr>
          <w:rFonts w:eastAsia="Times New Roman" w:cstheme="minorHAnsi"/>
          <w:lang w:eastAsia="hr-BA"/>
        </w:rPr>
        <w:t xml:space="preserve"> KM za c</w:t>
      </w:r>
      <w:r w:rsidR="00972EE7" w:rsidRPr="00E70BF3">
        <w:rPr>
          <w:rFonts w:eastAsia="Times New Roman" w:cstheme="minorHAnsi"/>
          <w:lang w:eastAsia="hr-BA"/>
        </w:rPr>
        <w:t>ij</w:t>
      </w:r>
      <w:r w:rsidRPr="00E70BF3">
        <w:rPr>
          <w:rFonts w:eastAsia="Times New Roman" w:cstheme="minorHAnsi"/>
          <w:lang w:eastAsia="hr-BA"/>
        </w:rPr>
        <w:t>elu emisiju obveznica (1</w:t>
      </w:r>
      <w:r w:rsidR="0099679B" w:rsidRPr="00E70BF3">
        <w:rPr>
          <w:rFonts w:eastAsia="Times New Roman" w:cstheme="minorHAnsi"/>
          <w:lang w:eastAsia="hr-BA"/>
        </w:rPr>
        <w:t>5</w:t>
      </w:r>
      <w:r w:rsidRPr="00E70BF3">
        <w:rPr>
          <w:rFonts w:eastAsia="Times New Roman" w:cstheme="minorHAnsi"/>
          <w:lang w:eastAsia="hr-BA"/>
        </w:rPr>
        <w:t xml:space="preserve">.000 obveznica × </w:t>
      </w:r>
      <w:r w:rsidR="0099679B" w:rsidRPr="00E70BF3">
        <w:rPr>
          <w:rFonts w:eastAsia="Times New Roman" w:cstheme="minorHAnsi"/>
          <w:lang w:eastAsia="hr-BA"/>
        </w:rPr>
        <w:t>65</w:t>
      </w:r>
      <w:r w:rsidRPr="00E70BF3">
        <w:rPr>
          <w:rFonts w:eastAsia="Times New Roman" w:cstheme="minorHAnsi"/>
          <w:lang w:eastAsia="hr-BA"/>
        </w:rPr>
        <w:t xml:space="preserve"> KM).</w:t>
      </w:r>
    </w:p>
    <w:p w:rsidR="005F218B" w:rsidRPr="00E70BF3" w:rsidRDefault="005F218B" w:rsidP="007A64F4">
      <w:pPr>
        <w:numPr>
          <w:ilvl w:val="0"/>
          <w:numId w:val="5"/>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Otplata glavnice:</w:t>
      </w:r>
      <w:r w:rsidRPr="00E70BF3">
        <w:rPr>
          <w:rFonts w:eastAsia="Times New Roman" w:cstheme="minorHAnsi"/>
          <w:lang w:eastAsia="hr-BA"/>
        </w:rPr>
        <w:t xml:space="preserve"> Ukupna glavnicu od 1</w:t>
      </w:r>
      <w:r w:rsidR="0099679B" w:rsidRPr="00E70BF3">
        <w:rPr>
          <w:rFonts w:eastAsia="Times New Roman" w:cstheme="minorHAnsi"/>
          <w:lang w:eastAsia="hr-BA"/>
        </w:rPr>
        <w:t>5</w:t>
      </w:r>
      <w:r w:rsidRPr="00E70BF3">
        <w:rPr>
          <w:rFonts w:eastAsia="Times New Roman" w:cstheme="minorHAnsi"/>
          <w:lang w:eastAsia="hr-BA"/>
        </w:rPr>
        <w:t>.000.000 KM bit će otplaćena na kraju 5. godine (20</w:t>
      </w:r>
      <w:r w:rsidR="00972EE7" w:rsidRPr="00E70BF3">
        <w:rPr>
          <w:rFonts w:eastAsia="Times New Roman" w:cstheme="minorHAnsi"/>
          <w:lang w:eastAsia="hr-BA"/>
        </w:rPr>
        <w:t>30</w:t>
      </w:r>
      <w:r w:rsidRPr="00E70BF3">
        <w:rPr>
          <w:rFonts w:eastAsia="Times New Roman" w:cstheme="minorHAnsi"/>
          <w:lang w:eastAsia="hr-BA"/>
        </w:rPr>
        <w:t>.). Otplata se može obaviti iz tekućih prihoda ili refinansiranjem obveznica.</w:t>
      </w:r>
    </w:p>
    <w:p w:rsidR="005F218B" w:rsidRPr="00E70BF3" w:rsidRDefault="00A00D7B" w:rsidP="005F218B">
      <w:pPr>
        <w:spacing w:after="0" w:line="240" w:lineRule="auto"/>
        <w:rPr>
          <w:rFonts w:eastAsia="Times New Roman" w:cstheme="minorHAnsi"/>
          <w:lang w:eastAsia="hr-BA"/>
        </w:rPr>
      </w:pPr>
      <w:r>
        <w:rPr>
          <w:rFonts w:eastAsia="Times New Roman" w:cstheme="minorHAnsi"/>
          <w:lang w:eastAsia="hr-BA"/>
        </w:rPr>
        <w:pict>
          <v:rect id="_x0000_i1031" style="width:0;height:1.5pt" o:hralign="center" o:hrstd="t" o:hr="t" fillcolor="#a0a0a0" stroked="f"/>
        </w:pict>
      </w:r>
    </w:p>
    <w:p w:rsidR="00EC3C87" w:rsidRPr="00E70BF3" w:rsidRDefault="00723BB8" w:rsidP="00EC3C87">
      <w:pPr>
        <w:spacing w:before="100" w:beforeAutospacing="1" w:after="100" w:afterAutospacing="1" w:line="240" w:lineRule="auto"/>
        <w:outlineLvl w:val="2"/>
        <w:rPr>
          <w:rFonts w:eastAsia="Times New Roman" w:cstheme="minorHAnsi"/>
          <w:b/>
          <w:bCs/>
          <w:lang w:eastAsia="hr-BA"/>
        </w:rPr>
      </w:pPr>
      <w:r>
        <w:rPr>
          <w:rFonts w:eastAsia="Times New Roman" w:cstheme="minorHAnsi"/>
          <w:b/>
          <w:bCs/>
          <w:lang w:eastAsia="hr-BA"/>
        </w:rPr>
        <w:t>8</w:t>
      </w:r>
      <w:r w:rsidR="00EC3C87" w:rsidRPr="00E70BF3">
        <w:rPr>
          <w:rFonts w:eastAsia="Times New Roman" w:cstheme="minorHAnsi"/>
          <w:b/>
          <w:bCs/>
          <w:lang w:eastAsia="hr-BA"/>
        </w:rPr>
        <w:t>. Financijsk</w:t>
      </w:r>
      <w:r w:rsidR="005B54AD">
        <w:rPr>
          <w:rFonts w:eastAsia="Times New Roman" w:cstheme="minorHAnsi"/>
          <w:b/>
          <w:bCs/>
          <w:lang w:eastAsia="hr-BA"/>
        </w:rPr>
        <w:t>e</w:t>
      </w:r>
      <w:r w:rsidR="00EC3C87" w:rsidRPr="00E70BF3">
        <w:rPr>
          <w:rFonts w:eastAsia="Times New Roman" w:cstheme="minorHAnsi"/>
          <w:b/>
          <w:bCs/>
          <w:lang w:eastAsia="hr-BA"/>
        </w:rPr>
        <w:t xml:space="preserve"> projekcij</w:t>
      </w:r>
      <w:r w:rsidR="005B54AD">
        <w:rPr>
          <w:rFonts w:eastAsia="Times New Roman" w:cstheme="minorHAnsi"/>
          <w:b/>
          <w:bCs/>
          <w:lang w:eastAsia="hr-BA"/>
        </w:rPr>
        <w:t>e</w:t>
      </w:r>
    </w:p>
    <w:p w:rsidR="00EC3C87" w:rsidRPr="00E70BF3" w:rsidRDefault="00EC3C87" w:rsidP="00EC3C87">
      <w:pPr>
        <w:spacing w:before="100" w:beforeAutospacing="1" w:after="100" w:afterAutospacing="1" w:line="240" w:lineRule="auto"/>
        <w:rPr>
          <w:rFonts w:eastAsia="Times New Roman" w:cstheme="minorHAnsi"/>
          <w:lang w:eastAsia="hr-BA"/>
        </w:rPr>
      </w:pPr>
      <w:r w:rsidRPr="00E70BF3">
        <w:rPr>
          <w:rFonts w:eastAsia="Times New Roman" w:cstheme="minorHAnsi"/>
          <w:lang w:eastAsia="hr-BA"/>
        </w:rPr>
        <w:t>Za razdoblje 2025-2030, predviđamo:</w:t>
      </w:r>
    </w:p>
    <w:p w:rsidR="00EC3C87" w:rsidRPr="00E70BF3" w:rsidRDefault="00EC3C87" w:rsidP="007A64F4">
      <w:pPr>
        <w:numPr>
          <w:ilvl w:val="0"/>
          <w:numId w:val="19"/>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Godina 2025</w:t>
      </w:r>
      <w:r w:rsidRPr="00E70BF3">
        <w:rPr>
          <w:rFonts w:eastAsia="Times New Roman" w:cstheme="minorHAnsi"/>
          <w:lang w:eastAsia="hr-BA"/>
        </w:rPr>
        <w:t xml:space="preserve">: Rast prihoda od </w:t>
      </w:r>
      <w:r w:rsidR="0099679B" w:rsidRPr="00E70BF3">
        <w:rPr>
          <w:rFonts w:eastAsia="Times New Roman" w:cstheme="minorHAnsi"/>
          <w:lang w:eastAsia="hr-BA"/>
        </w:rPr>
        <w:t>2</w:t>
      </w:r>
      <w:r w:rsidRPr="00E70BF3">
        <w:rPr>
          <w:rFonts w:eastAsia="Times New Roman" w:cstheme="minorHAnsi"/>
          <w:lang w:eastAsia="hr-BA"/>
        </w:rPr>
        <w:t>% uz povećanje proizvodnih kapaciteta. Planira se povrat na stabilnost s pozitivnim operativnim rezultatom.</w:t>
      </w:r>
    </w:p>
    <w:p w:rsidR="00EC3C87" w:rsidRPr="00E70BF3" w:rsidRDefault="00EC3C87" w:rsidP="007A64F4">
      <w:pPr>
        <w:numPr>
          <w:ilvl w:val="0"/>
          <w:numId w:val="19"/>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Godina 2026</w:t>
      </w:r>
      <w:r w:rsidRPr="00E70BF3">
        <w:rPr>
          <w:rFonts w:eastAsia="Times New Roman" w:cstheme="minorHAnsi"/>
          <w:lang w:eastAsia="hr-BA"/>
        </w:rPr>
        <w:t>: Planirani rast prihoda od 1% kroz širenje na nova tržišta i lansiranje novih proizvoda.</w:t>
      </w:r>
      <w:r w:rsidR="00E10905" w:rsidRPr="00E70BF3">
        <w:rPr>
          <w:rFonts w:cstheme="minorHAnsi"/>
        </w:rPr>
        <w:t xml:space="preserve"> Neto dobit za 2026. godinu iznosit će 748.623 KM, što je dodatni skok u profitabilnosti, uz daljnji rast marži.</w:t>
      </w:r>
    </w:p>
    <w:p w:rsidR="00EC3C87" w:rsidRPr="00E70BF3" w:rsidRDefault="00EC3C87" w:rsidP="007A64F4">
      <w:pPr>
        <w:numPr>
          <w:ilvl w:val="0"/>
          <w:numId w:val="19"/>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Godine 2027-2029</w:t>
      </w:r>
      <w:r w:rsidRPr="00E70BF3">
        <w:rPr>
          <w:rFonts w:eastAsia="Times New Roman" w:cstheme="minorHAnsi"/>
          <w:lang w:eastAsia="hr-BA"/>
        </w:rPr>
        <w:t xml:space="preserve">: </w:t>
      </w:r>
      <w:r w:rsidR="00E10905" w:rsidRPr="00E70BF3">
        <w:rPr>
          <w:rFonts w:cstheme="minorHAnsi"/>
        </w:rPr>
        <w:t>Očekivani konsolidacijski period s prosječnim godišnjim rastom prihoda od 1-2%. Neto dobit će rasti na 2.680.116 KM u 2027. godini, te na 3.035.204 KM i 3.056.854 KM u 2028. i 2029. godini, zahvaljujući optimizaciji poslovanja i stabilizaciji operacija</w:t>
      </w:r>
      <w:r w:rsidRPr="00E70BF3">
        <w:rPr>
          <w:rFonts w:eastAsia="Times New Roman" w:cstheme="minorHAnsi"/>
          <w:lang w:eastAsia="hr-BA"/>
        </w:rPr>
        <w:t>.</w:t>
      </w:r>
    </w:p>
    <w:p w:rsidR="00E10905" w:rsidRPr="00E70BF3" w:rsidRDefault="00E10905" w:rsidP="007A64F4">
      <w:pPr>
        <w:numPr>
          <w:ilvl w:val="0"/>
          <w:numId w:val="19"/>
        </w:numPr>
        <w:spacing w:before="100" w:beforeAutospacing="1" w:after="100" w:afterAutospacing="1" w:line="240" w:lineRule="auto"/>
        <w:jc w:val="both"/>
        <w:rPr>
          <w:rFonts w:eastAsia="Times New Roman" w:cstheme="minorHAnsi"/>
          <w:lang w:eastAsia="hr-BA"/>
        </w:rPr>
      </w:pPr>
      <w:r w:rsidRPr="00E70BF3">
        <w:rPr>
          <w:rStyle w:val="Strong"/>
          <w:rFonts w:cstheme="minorHAnsi"/>
        </w:rPr>
        <w:t>Godina 2030</w:t>
      </w:r>
      <w:r w:rsidRPr="00E70BF3">
        <w:rPr>
          <w:rFonts w:cstheme="minorHAnsi"/>
        </w:rPr>
        <w:t>: Očekuje se daljnji rast neto dobiti na 4.123.318 KM, što predstavlja značajan uspjeh u ostvarivanju dugoročnih ciljeva profitabilnosti. Ovaj rast je rezultat optimizacije troškova, proširenja premium segmenta i učinkovite distribuc</w:t>
      </w:r>
    </w:p>
    <w:p w:rsidR="00EC3C87" w:rsidRDefault="00EC3C87" w:rsidP="00EC3C87">
      <w:pPr>
        <w:spacing w:before="100" w:beforeAutospacing="1" w:after="100" w:afterAutospacing="1" w:line="240" w:lineRule="auto"/>
        <w:rPr>
          <w:rFonts w:eastAsia="Times New Roman" w:cstheme="minorHAnsi"/>
          <w:lang w:eastAsia="hr-BA"/>
        </w:rPr>
      </w:pPr>
      <w:r w:rsidRPr="00E70BF3">
        <w:rPr>
          <w:rFonts w:eastAsia="Times New Roman" w:cstheme="minorHAnsi"/>
          <w:lang w:eastAsia="hr-BA"/>
        </w:rPr>
        <w:t xml:space="preserve">Projekcija neto dobiti do 2030. godine uključuje </w:t>
      </w:r>
      <w:r w:rsidRPr="00E70BF3">
        <w:rPr>
          <w:rFonts w:eastAsia="Times New Roman" w:cstheme="minorHAnsi"/>
          <w:b/>
          <w:bCs/>
          <w:lang w:eastAsia="hr-BA"/>
        </w:rPr>
        <w:t>povećanje profitabilnosti</w:t>
      </w:r>
      <w:r w:rsidR="00E10905" w:rsidRPr="00E70BF3">
        <w:rPr>
          <w:rFonts w:eastAsia="Times New Roman" w:cstheme="minorHAnsi"/>
          <w:b/>
          <w:bCs/>
          <w:lang w:eastAsia="hr-BA"/>
        </w:rPr>
        <w:t xml:space="preserve">, </w:t>
      </w:r>
      <w:r w:rsidRPr="00E70BF3">
        <w:rPr>
          <w:rFonts w:eastAsia="Times New Roman" w:cstheme="minorHAnsi"/>
          <w:lang w:eastAsia="hr-BA"/>
        </w:rPr>
        <w:t>zahvaljujući optimizaciji operacija i smanjenju troškova.</w:t>
      </w:r>
    </w:p>
    <w:p w:rsidR="005B54AD" w:rsidRDefault="005B54AD" w:rsidP="005B54AD">
      <w:pPr>
        <w:spacing w:before="100" w:beforeAutospacing="1" w:after="100" w:afterAutospacing="1" w:line="240" w:lineRule="auto"/>
        <w:outlineLvl w:val="2"/>
        <w:rPr>
          <w:rFonts w:eastAsia="Times New Roman" w:cstheme="minorHAnsi"/>
          <w:b/>
          <w:bCs/>
          <w:lang w:eastAsia="hr-BA"/>
        </w:rPr>
      </w:pPr>
      <w:r>
        <w:rPr>
          <w:rFonts w:eastAsia="Times New Roman" w:cstheme="minorHAnsi"/>
          <w:b/>
          <w:bCs/>
          <w:lang w:eastAsia="hr-BA"/>
        </w:rPr>
        <w:t xml:space="preserve">8.1. Projekcija bilansa stanja </w:t>
      </w:r>
    </w:p>
    <w:p w:rsidR="005B54AD" w:rsidRDefault="005B54AD" w:rsidP="007A64F4">
      <w:pPr>
        <w:spacing w:before="100" w:beforeAutospacing="1" w:after="100" w:afterAutospacing="1" w:line="240" w:lineRule="auto"/>
        <w:jc w:val="both"/>
      </w:pPr>
      <w:r>
        <w:t>Projekcija novčanog toka za razdoblje 2025–2030 jasno prikazuje planirane izvore i namjene sredstava, pružajući uvid u održivost poslovanja i sposobnost servisiranja obaveza. U nastavku su izdvojeni ključni aspekti:</w:t>
      </w:r>
    </w:p>
    <w:p w:rsidR="005B54AD" w:rsidRPr="00435631" w:rsidRDefault="005B54AD" w:rsidP="007A64F4">
      <w:pPr>
        <w:pStyle w:val="ListParagraph"/>
        <w:numPr>
          <w:ilvl w:val="0"/>
          <w:numId w:val="8"/>
        </w:numPr>
        <w:spacing w:before="100" w:beforeAutospacing="1" w:after="100" w:afterAutospacing="1" w:line="240" w:lineRule="auto"/>
        <w:jc w:val="both"/>
        <w:rPr>
          <w:rFonts w:eastAsia="Times New Roman" w:cstheme="minorHAnsi"/>
          <w:lang w:eastAsia="hr-BA"/>
        </w:rPr>
      </w:pPr>
      <w:r w:rsidRPr="00435631">
        <w:rPr>
          <w:rFonts w:eastAsia="Times New Roman" w:cstheme="minorHAnsi"/>
          <w:lang w:eastAsia="hr-BA"/>
        </w:rPr>
        <w:t>Bilans stanja ukazuje na stabilnu strukturu aktive i rast kapitala tokom projektnog perioda. Planirani iznos ukupne aktive u 2024. godini iznosi cca 110 miliona KM, s blagim padom do 2026. godine uslijed smanjenja materijalne imovine i kratkotrajne imovine, nakon čega slijedi ponovni rast do 2029. godine.</w:t>
      </w:r>
    </w:p>
    <w:p w:rsidR="005B54AD" w:rsidRPr="00435631" w:rsidRDefault="005B54AD" w:rsidP="007A64F4">
      <w:pPr>
        <w:pStyle w:val="ListParagraph"/>
        <w:numPr>
          <w:ilvl w:val="0"/>
          <w:numId w:val="8"/>
        </w:numPr>
        <w:spacing w:before="100" w:beforeAutospacing="1" w:after="100" w:afterAutospacing="1" w:line="240" w:lineRule="auto"/>
        <w:jc w:val="both"/>
        <w:rPr>
          <w:rFonts w:eastAsia="Times New Roman" w:cstheme="minorHAnsi"/>
          <w:lang w:eastAsia="hr-BA"/>
        </w:rPr>
      </w:pPr>
      <w:r w:rsidRPr="00435631">
        <w:rPr>
          <w:rFonts w:eastAsia="Times New Roman" w:cstheme="minorHAnsi"/>
          <w:lang w:eastAsia="hr-BA"/>
        </w:rPr>
        <w:t>Struktura imovine pokazuje dominaciju dugotrajne imovine (oko 85% u 2024), što ukazuje na snažnu bazu operativne imovine. Kratkoročna imovina značajno raste u 2025. zbog planirane emisije obveznica (reflektovano kroz rast novčanih sredstava), što ukazuje na obezbjeđivanje likvidnosti za realizaciju planiranih ulaganja.</w:t>
      </w:r>
    </w:p>
    <w:p w:rsidR="005B54AD" w:rsidRPr="00435631" w:rsidRDefault="005B54AD" w:rsidP="007A64F4">
      <w:pPr>
        <w:pStyle w:val="ListParagraph"/>
        <w:numPr>
          <w:ilvl w:val="0"/>
          <w:numId w:val="8"/>
        </w:numPr>
        <w:spacing w:before="100" w:beforeAutospacing="1" w:after="100" w:afterAutospacing="1" w:line="240" w:lineRule="auto"/>
        <w:jc w:val="both"/>
        <w:rPr>
          <w:rFonts w:eastAsia="Times New Roman" w:cstheme="minorHAnsi"/>
          <w:lang w:eastAsia="hr-BA"/>
        </w:rPr>
      </w:pPr>
      <w:r w:rsidRPr="00435631">
        <w:rPr>
          <w:rFonts w:eastAsia="Times New Roman" w:cstheme="minorHAnsi"/>
          <w:lang w:eastAsia="hr-BA"/>
        </w:rPr>
        <w:t>Na strani pasive, primjetan je porast dugoročnih obaveza u 2025. godini (sa 3,5 miliona na 36,3 miliona KM), što korespondira s planiranom emisijom obveznica ili zaduživanjem. Istovremeno, kratkoročne obaveze su značajno reducirane, što dodatno jača likvidnosni položaj društva.</w:t>
      </w:r>
    </w:p>
    <w:p w:rsidR="005B54AD" w:rsidRPr="00435631" w:rsidRDefault="005B54AD" w:rsidP="007A64F4">
      <w:pPr>
        <w:pStyle w:val="ListParagraph"/>
        <w:numPr>
          <w:ilvl w:val="0"/>
          <w:numId w:val="8"/>
        </w:numPr>
        <w:spacing w:before="100" w:beforeAutospacing="1" w:after="100" w:afterAutospacing="1" w:line="240" w:lineRule="auto"/>
        <w:jc w:val="both"/>
        <w:rPr>
          <w:rFonts w:eastAsia="Times New Roman" w:cstheme="minorHAnsi"/>
          <w:lang w:eastAsia="hr-BA"/>
        </w:rPr>
      </w:pPr>
      <w:r w:rsidRPr="00435631">
        <w:rPr>
          <w:rFonts w:eastAsia="Times New Roman" w:cstheme="minorHAnsi"/>
          <w:lang w:eastAsia="hr-BA"/>
        </w:rPr>
        <w:t>Kapital i rezerve pokazuju kontinuiran rast zahvaljujući pozitivnim projekcijama dobiti, čime se jača finansijska stabilnost i kreditni rejting emitenta. Pokrivenost ukupne aktive kapitalom i rezervama raste s 56% (2024) na preko 90% (2030), što je indikator smanjenja finansijskog rizika.</w:t>
      </w:r>
    </w:p>
    <w:p w:rsidR="005B54AD" w:rsidRPr="00B27DEB" w:rsidRDefault="005B54AD" w:rsidP="007A64F4">
      <w:pPr>
        <w:spacing w:before="100" w:beforeAutospacing="1" w:after="100" w:afterAutospacing="1" w:line="240" w:lineRule="auto"/>
        <w:jc w:val="both"/>
        <w:rPr>
          <w:rFonts w:eastAsia="Times New Roman" w:cstheme="minorHAnsi"/>
          <w:lang w:eastAsia="hr-BA"/>
        </w:rPr>
      </w:pPr>
      <w:r w:rsidRPr="00B27DEB">
        <w:rPr>
          <w:rFonts w:eastAsia="Times New Roman" w:cstheme="minorHAnsi"/>
          <w:lang w:eastAsia="hr-BA"/>
        </w:rPr>
        <w:lastRenderedPageBreak/>
        <w:t>Ukupno posmatrano, bilans stanja prikazuje održiv i kontrolisan rast, uz pažljivo planirano zaduženje i jačanje vlastitog kapitala, što je dobar temelj za uspješnu emisiju obveznica.</w:t>
      </w:r>
    </w:p>
    <w:p w:rsidR="005B54AD" w:rsidRPr="00E70BF3" w:rsidRDefault="005B54AD" w:rsidP="005B54AD">
      <w:pPr>
        <w:spacing w:before="100" w:beforeAutospacing="1" w:after="100" w:afterAutospacing="1" w:line="240" w:lineRule="auto"/>
        <w:rPr>
          <w:rFonts w:eastAsia="Times New Roman" w:cstheme="minorHAnsi"/>
          <w:lang w:eastAsia="hr-BA"/>
        </w:rPr>
      </w:pPr>
      <w:r w:rsidRPr="00E70BF3">
        <w:rPr>
          <w:rFonts w:eastAsia="Times New Roman" w:cstheme="minorHAnsi"/>
          <w:b/>
          <w:bCs/>
          <w:lang w:eastAsia="hr-BA"/>
        </w:rPr>
        <w:t xml:space="preserve">Projekcija </w:t>
      </w:r>
      <w:r>
        <w:rPr>
          <w:rFonts w:eastAsia="Times New Roman" w:cstheme="minorHAnsi"/>
          <w:b/>
          <w:bCs/>
          <w:lang w:eastAsia="hr-BA"/>
        </w:rPr>
        <w:t>bilansa stanja</w:t>
      </w:r>
      <w:r w:rsidRPr="00E70BF3">
        <w:rPr>
          <w:rFonts w:eastAsia="Times New Roman" w:cstheme="minorHAnsi"/>
          <w:b/>
          <w:bCs/>
          <w:lang w:eastAsia="hr-BA"/>
        </w:rPr>
        <w:t xml:space="preserve"> za 2025-2030</w:t>
      </w:r>
      <w:r w:rsidRPr="00E70BF3">
        <w:rPr>
          <w:rFonts w:eastAsia="Times New Roman" w:cstheme="minorHAnsi"/>
          <w:lang w:eastAsia="hr-BA"/>
        </w:rPr>
        <w:t>:</w:t>
      </w:r>
    </w:p>
    <w:p w:rsidR="00A00D7B" w:rsidRPr="00A00D7B" w:rsidRDefault="005B54AD" w:rsidP="00A00D7B">
      <w:pPr>
        <w:spacing w:after="0" w:line="240" w:lineRule="auto"/>
        <w:outlineLvl w:val="2"/>
        <w:rPr>
          <w:sz w:val="2"/>
          <w:szCs w:val="2"/>
        </w:rPr>
      </w:pPr>
      <w:r>
        <w:fldChar w:fldCharType="begin"/>
      </w:r>
      <w:r>
        <w:instrText xml:space="preserve"> LINK </w:instrText>
      </w:r>
      <w:r w:rsidR="00A00D7B">
        <w:instrText xml:space="preserve">Excel.Sheet.12 "F:\\Emisija obveznica\\Final\\Projekcija bs i bu.xlsx" Sheet1!R1C1:R39C8 </w:instrText>
      </w:r>
      <w:r>
        <w:instrText xml:space="preserve">\a \f 5 \h  \* MERGEFORMAT </w:instrText>
      </w:r>
      <w:r w:rsidR="00A00D7B">
        <w:fldChar w:fldCharType="separate"/>
      </w:r>
    </w:p>
    <w:tbl>
      <w:tblPr>
        <w:tblStyle w:val="TableGrid"/>
        <w:tblW w:w="9493" w:type="dxa"/>
        <w:tblLook w:val="04A0" w:firstRow="1" w:lastRow="0" w:firstColumn="1" w:lastColumn="0" w:noHBand="0" w:noVBand="1"/>
      </w:tblPr>
      <w:tblGrid>
        <w:gridCol w:w="1838"/>
        <w:gridCol w:w="1134"/>
        <w:gridCol w:w="1134"/>
        <w:gridCol w:w="1042"/>
        <w:gridCol w:w="1084"/>
        <w:gridCol w:w="1042"/>
        <w:gridCol w:w="1085"/>
        <w:gridCol w:w="1134"/>
      </w:tblGrid>
      <w:tr w:rsidR="00A00D7B" w:rsidRPr="00A00D7B" w:rsidTr="00A00D7B">
        <w:trPr>
          <w:divId w:val="960039505"/>
          <w:trHeight w:val="315"/>
        </w:trPr>
        <w:tc>
          <w:tcPr>
            <w:tcW w:w="1838" w:type="dxa"/>
            <w:noWrap/>
            <w:hideMark/>
          </w:tcPr>
          <w:p w:rsidR="00A00D7B" w:rsidRPr="00A00D7B" w:rsidRDefault="00A00D7B" w:rsidP="00A00D7B">
            <w:pPr>
              <w:spacing w:before="100" w:beforeAutospacing="1" w:after="100" w:afterAutospacing="1"/>
              <w:outlineLvl w:val="2"/>
              <w:rPr>
                <w:rFonts w:cstheme="minorHAnsi"/>
                <w:b/>
                <w:bCs/>
                <w:sz w:val="18"/>
                <w:szCs w:val="18"/>
              </w:rPr>
            </w:pPr>
            <w:r w:rsidRPr="00A00D7B">
              <w:rPr>
                <w:rFonts w:cstheme="minorHAnsi"/>
                <w:b/>
                <w:bCs/>
                <w:sz w:val="18"/>
                <w:szCs w:val="18"/>
              </w:rPr>
              <w:t xml:space="preserve">Bilanca Stanja </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 </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plan</w:t>
            </w:r>
          </w:p>
        </w:tc>
        <w:tc>
          <w:tcPr>
            <w:tcW w:w="1042"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plan</w:t>
            </w:r>
          </w:p>
        </w:tc>
        <w:tc>
          <w:tcPr>
            <w:tcW w:w="108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plan</w:t>
            </w:r>
          </w:p>
        </w:tc>
        <w:tc>
          <w:tcPr>
            <w:tcW w:w="1042"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plan</w:t>
            </w:r>
          </w:p>
        </w:tc>
        <w:tc>
          <w:tcPr>
            <w:tcW w:w="1085"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plan</w:t>
            </w:r>
          </w:p>
        </w:tc>
        <w:tc>
          <w:tcPr>
            <w:tcW w:w="1134" w:type="dxa"/>
            <w:noWrap/>
            <w:hideMark/>
          </w:tcPr>
          <w:p w:rsidR="00A00D7B" w:rsidRPr="00A00D7B" w:rsidRDefault="00A00D7B" w:rsidP="00A00D7B">
            <w:pPr>
              <w:spacing w:before="100" w:beforeAutospacing="1" w:after="100" w:afterAutospacing="1"/>
              <w:jc w:val="right"/>
              <w:outlineLvl w:val="2"/>
              <w:rPr>
                <w:b/>
                <w:bCs/>
                <w:sz w:val="18"/>
                <w:szCs w:val="18"/>
              </w:rPr>
            </w:pPr>
            <w:r w:rsidRPr="00A00D7B">
              <w:rPr>
                <w:b/>
                <w:bCs/>
                <w:sz w:val="18"/>
                <w:szCs w:val="18"/>
              </w:rPr>
              <w:t>plan</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b/>
                <w:bCs/>
                <w:sz w:val="18"/>
                <w:szCs w:val="18"/>
              </w:rPr>
            </w:pPr>
            <w:r w:rsidRPr="00A00D7B">
              <w:rPr>
                <w:rFonts w:cstheme="minorHAnsi"/>
                <w:b/>
                <w:bCs/>
                <w:sz w:val="18"/>
                <w:szCs w:val="18"/>
              </w:rPr>
              <w:t>u KM</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2024</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2025</w:t>
            </w:r>
          </w:p>
        </w:tc>
        <w:tc>
          <w:tcPr>
            <w:tcW w:w="1042"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2026</w:t>
            </w:r>
          </w:p>
        </w:tc>
        <w:tc>
          <w:tcPr>
            <w:tcW w:w="108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2027</w:t>
            </w:r>
          </w:p>
        </w:tc>
        <w:tc>
          <w:tcPr>
            <w:tcW w:w="1042"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2028</w:t>
            </w:r>
          </w:p>
        </w:tc>
        <w:tc>
          <w:tcPr>
            <w:tcW w:w="1085"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2029</w:t>
            </w:r>
          </w:p>
        </w:tc>
        <w:tc>
          <w:tcPr>
            <w:tcW w:w="1134" w:type="dxa"/>
            <w:noWrap/>
            <w:hideMark/>
          </w:tcPr>
          <w:p w:rsidR="00A00D7B" w:rsidRPr="00A00D7B" w:rsidRDefault="00A00D7B" w:rsidP="00A00D7B">
            <w:pPr>
              <w:spacing w:before="100" w:beforeAutospacing="1" w:after="100" w:afterAutospacing="1"/>
              <w:jc w:val="right"/>
              <w:outlineLvl w:val="2"/>
              <w:rPr>
                <w:b/>
                <w:bCs/>
                <w:sz w:val="18"/>
                <w:szCs w:val="18"/>
              </w:rPr>
            </w:pPr>
            <w:r w:rsidRPr="00A00D7B">
              <w:rPr>
                <w:b/>
                <w:bCs/>
                <w:sz w:val="18"/>
                <w:szCs w:val="18"/>
              </w:rPr>
              <w:t>2030</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b/>
                <w:bCs/>
                <w:sz w:val="18"/>
                <w:szCs w:val="18"/>
              </w:rPr>
            </w:pPr>
            <w:r w:rsidRPr="00A00D7B">
              <w:rPr>
                <w:rFonts w:cstheme="minorHAnsi"/>
                <w:b/>
                <w:bCs/>
                <w:sz w:val="18"/>
                <w:szCs w:val="18"/>
              </w:rPr>
              <w:t>Dugotrajna imovina</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 </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Nematerijalna imovina</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295.137</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77.449</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800.000</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600.000</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400.000</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Materijalna imovina</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93.111.994</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78.414.891</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76.441.983</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77.701.075</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80.380.167</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77.500.979</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74.621.791</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Dugoročna financijska imovina</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606.000</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106.000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74.452</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74.452</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74.452</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74.452</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Druga dugoročna potraživanja</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999.989</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6.805</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6.805</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6.805</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6.805</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6.805</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6.805</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b/>
                <w:bCs/>
                <w:sz w:val="18"/>
                <w:szCs w:val="18"/>
              </w:rPr>
            </w:pPr>
            <w:r w:rsidRPr="00A00D7B">
              <w:rPr>
                <w:rFonts w:cstheme="minorHAnsi"/>
                <w:b/>
                <w:bCs/>
                <w:sz w:val="18"/>
                <w:szCs w:val="18"/>
              </w:rPr>
              <w:t>Ukupno dugotrajna imovina</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95.013.120</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78.605.145</w:t>
            </w:r>
          </w:p>
        </w:tc>
        <w:tc>
          <w:tcPr>
            <w:tcW w:w="1042"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76.523.240</w:t>
            </w:r>
          </w:p>
        </w:tc>
        <w:tc>
          <w:tcPr>
            <w:tcW w:w="108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77.782.332</w:t>
            </w:r>
          </w:p>
        </w:tc>
        <w:tc>
          <w:tcPr>
            <w:tcW w:w="1042"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81.261.424</w:t>
            </w:r>
          </w:p>
        </w:tc>
        <w:tc>
          <w:tcPr>
            <w:tcW w:w="1085"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78.107.784</w:t>
            </w:r>
          </w:p>
        </w:tc>
        <w:tc>
          <w:tcPr>
            <w:tcW w:w="1134" w:type="dxa"/>
            <w:noWrap/>
            <w:hideMark/>
          </w:tcPr>
          <w:p w:rsidR="00A00D7B" w:rsidRPr="00A00D7B" w:rsidRDefault="00A00D7B" w:rsidP="00A00D7B">
            <w:pPr>
              <w:spacing w:before="100" w:beforeAutospacing="1" w:after="100" w:afterAutospacing="1"/>
              <w:jc w:val="right"/>
              <w:outlineLvl w:val="2"/>
              <w:rPr>
                <w:b/>
                <w:bCs/>
                <w:sz w:val="18"/>
                <w:szCs w:val="18"/>
              </w:rPr>
            </w:pPr>
            <w:r w:rsidRPr="00A00D7B">
              <w:rPr>
                <w:b/>
                <w:bCs/>
                <w:sz w:val="18"/>
                <w:szCs w:val="18"/>
              </w:rPr>
              <w:t>75.103.049</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b/>
                <w:bCs/>
                <w:sz w:val="18"/>
                <w:szCs w:val="18"/>
              </w:rPr>
            </w:pPr>
            <w:r w:rsidRPr="00A00D7B">
              <w:rPr>
                <w:rFonts w:cstheme="minorHAnsi"/>
                <w:b/>
                <w:bCs/>
                <w:sz w:val="18"/>
                <w:szCs w:val="18"/>
              </w:rPr>
              <w:t>Kratkotrajna imovina</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 </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Zalihe</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4.673.792</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3.920.305</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3.335.708</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3.351.265</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3.366.977</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3.382.847</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3.398.876</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Potraživanja</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1.851.145</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1.805.972</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1.120.000</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1.120.000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1.130.000</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1.140.100</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1.150.301</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Dati avansi</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17.857</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10.000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10.000</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10.000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10.000</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10.000</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10.000</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Ostala potraživanja</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287.993</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150.000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0</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Kratkoročna financijska imovina</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730.000</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0</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Novac i novčani ekvivalenti</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241.333</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23.411.959</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6.047.094</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7.096.130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6.402.580</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12.620.618</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4.756.074</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b/>
                <w:bCs/>
                <w:sz w:val="18"/>
                <w:szCs w:val="18"/>
              </w:rPr>
            </w:pPr>
            <w:r w:rsidRPr="00A00D7B">
              <w:rPr>
                <w:rFonts w:cstheme="minorHAnsi"/>
                <w:b/>
                <w:bCs/>
                <w:sz w:val="18"/>
                <w:szCs w:val="18"/>
              </w:rPr>
              <w:t>Ukupno kratkotrajna imovina</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7.802.120</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29.298.235</w:t>
            </w:r>
          </w:p>
        </w:tc>
        <w:tc>
          <w:tcPr>
            <w:tcW w:w="1042"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10.512.801</w:t>
            </w:r>
          </w:p>
        </w:tc>
        <w:tc>
          <w:tcPr>
            <w:tcW w:w="108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11.577.395</w:t>
            </w:r>
          </w:p>
        </w:tc>
        <w:tc>
          <w:tcPr>
            <w:tcW w:w="1042"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10.909.558</w:t>
            </w:r>
          </w:p>
        </w:tc>
        <w:tc>
          <w:tcPr>
            <w:tcW w:w="1085"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17.153.565</w:t>
            </w:r>
          </w:p>
        </w:tc>
        <w:tc>
          <w:tcPr>
            <w:tcW w:w="1134" w:type="dxa"/>
            <w:noWrap/>
            <w:hideMark/>
          </w:tcPr>
          <w:p w:rsidR="00A00D7B" w:rsidRPr="00A00D7B" w:rsidRDefault="00A00D7B" w:rsidP="00A00D7B">
            <w:pPr>
              <w:spacing w:before="100" w:beforeAutospacing="1" w:after="100" w:afterAutospacing="1"/>
              <w:jc w:val="right"/>
              <w:outlineLvl w:val="2"/>
              <w:rPr>
                <w:b/>
                <w:bCs/>
                <w:sz w:val="18"/>
                <w:szCs w:val="18"/>
              </w:rPr>
            </w:pPr>
            <w:r w:rsidRPr="00A00D7B">
              <w:rPr>
                <w:b/>
                <w:bCs/>
                <w:sz w:val="18"/>
                <w:szCs w:val="18"/>
              </w:rPr>
              <w:t>9.315.251</w:t>
            </w:r>
          </w:p>
        </w:tc>
      </w:tr>
      <w:tr w:rsidR="00A00D7B" w:rsidRPr="00A00D7B" w:rsidTr="00A00D7B">
        <w:trPr>
          <w:divId w:val="960039505"/>
          <w:trHeight w:val="6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Plaćeni troškovi budućih razdoblja i obračunati prihodi</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7.096.533</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30.000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0</w:t>
            </w:r>
          </w:p>
        </w:tc>
      </w:tr>
      <w:tr w:rsidR="00A00D7B" w:rsidRPr="00A00D7B" w:rsidTr="00A00D7B">
        <w:trPr>
          <w:divId w:val="960039505"/>
          <w:trHeight w:val="315"/>
        </w:trPr>
        <w:tc>
          <w:tcPr>
            <w:tcW w:w="1838" w:type="dxa"/>
            <w:hideMark/>
          </w:tcPr>
          <w:p w:rsidR="00A00D7B" w:rsidRPr="00A00D7B" w:rsidRDefault="00A00D7B" w:rsidP="00A00D7B">
            <w:pPr>
              <w:spacing w:before="100" w:beforeAutospacing="1" w:after="100" w:afterAutospacing="1"/>
              <w:outlineLvl w:val="2"/>
              <w:rPr>
                <w:rFonts w:cstheme="minorHAnsi"/>
                <w:b/>
                <w:bCs/>
                <w:sz w:val="18"/>
                <w:szCs w:val="18"/>
              </w:rPr>
            </w:pPr>
            <w:r w:rsidRPr="00A00D7B">
              <w:rPr>
                <w:rFonts w:cstheme="minorHAnsi"/>
                <w:b/>
                <w:bCs/>
                <w:sz w:val="18"/>
                <w:szCs w:val="18"/>
              </w:rPr>
              <w:t>Ukupna imovina</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109.911.773</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107.933.380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87.036.041</w:t>
            </w:r>
          </w:p>
        </w:tc>
        <w:tc>
          <w:tcPr>
            <w:tcW w:w="108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89.359.727</w:t>
            </w:r>
          </w:p>
        </w:tc>
        <w:tc>
          <w:tcPr>
            <w:tcW w:w="1042"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92.170.982</w:t>
            </w:r>
          </w:p>
        </w:tc>
        <w:tc>
          <w:tcPr>
            <w:tcW w:w="1085"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95.261.349</w:t>
            </w:r>
          </w:p>
        </w:tc>
        <w:tc>
          <w:tcPr>
            <w:tcW w:w="1134" w:type="dxa"/>
            <w:noWrap/>
            <w:hideMark/>
          </w:tcPr>
          <w:p w:rsidR="00A00D7B" w:rsidRPr="00A00D7B" w:rsidRDefault="00A00D7B" w:rsidP="00A00D7B">
            <w:pPr>
              <w:spacing w:before="100" w:beforeAutospacing="1" w:after="100" w:afterAutospacing="1"/>
              <w:jc w:val="right"/>
              <w:outlineLvl w:val="2"/>
              <w:rPr>
                <w:b/>
                <w:bCs/>
                <w:sz w:val="18"/>
                <w:szCs w:val="18"/>
              </w:rPr>
            </w:pPr>
            <w:r w:rsidRPr="00A00D7B">
              <w:rPr>
                <w:b/>
                <w:bCs/>
                <w:sz w:val="18"/>
                <w:szCs w:val="18"/>
              </w:rPr>
              <w:t>84.418.299</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b/>
                <w:bCs/>
                <w:sz w:val="18"/>
                <w:szCs w:val="18"/>
              </w:rPr>
            </w:pPr>
            <w:r w:rsidRPr="00A00D7B">
              <w:rPr>
                <w:rFonts w:cstheme="minorHAnsi"/>
                <w:b/>
                <w:bCs/>
                <w:sz w:val="18"/>
                <w:szCs w:val="18"/>
              </w:rPr>
              <w:t>Kapital i rezerve</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 </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Upisani kapital</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60.141.665</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60.141.665</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60.141.665</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60.141.665</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60.141.665</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60.141.665</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60.141.665</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Zakonske rezerve</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13.032.552</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13.032.552</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13.032.552</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13.032.552</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13.032.552</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13.032.552</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13.032.552</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Revalorizacione rezerve</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66.514.693</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66.514.693</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66.514.693</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66.514.693</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66.514.693</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66.514.693</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66.514.693</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Nerealizovani dobici</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0</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Zadržana dobit / gubitak</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-78.141.747</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-78.094.180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-74.914.938</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-74.144.255</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-71.442.078</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-68.384.814</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-65.305.900</w:t>
            </w:r>
          </w:p>
        </w:tc>
      </w:tr>
      <w:tr w:rsidR="00A00D7B" w:rsidRPr="00A00D7B" w:rsidTr="00A00D7B">
        <w:trPr>
          <w:divId w:val="960039505"/>
          <w:trHeight w:val="6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Neto dobit / gubitak financijske godine</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47.567</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3.179.242</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770.684</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2.702.176</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3.057.264</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3.078.914</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4.145.378</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b/>
                <w:bCs/>
                <w:sz w:val="18"/>
                <w:szCs w:val="18"/>
              </w:rPr>
            </w:pPr>
            <w:r w:rsidRPr="00A00D7B">
              <w:rPr>
                <w:rFonts w:cstheme="minorHAnsi"/>
                <w:b/>
                <w:bCs/>
                <w:sz w:val="18"/>
                <w:szCs w:val="18"/>
              </w:rPr>
              <w:t>Ukupno kapital &amp; rezerve</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61.594.730</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64.773.972</w:t>
            </w:r>
          </w:p>
        </w:tc>
        <w:tc>
          <w:tcPr>
            <w:tcW w:w="1042"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65.544.656</w:t>
            </w:r>
          </w:p>
        </w:tc>
        <w:tc>
          <w:tcPr>
            <w:tcW w:w="108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68.246.832</w:t>
            </w:r>
          </w:p>
        </w:tc>
        <w:tc>
          <w:tcPr>
            <w:tcW w:w="1042"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71.304.096</w:t>
            </w:r>
          </w:p>
        </w:tc>
        <w:tc>
          <w:tcPr>
            <w:tcW w:w="1085"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74.383.010</w:t>
            </w:r>
          </w:p>
        </w:tc>
        <w:tc>
          <w:tcPr>
            <w:tcW w:w="1134" w:type="dxa"/>
            <w:noWrap/>
            <w:hideMark/>
          </w:tcPr>
          <w:p w:rsidR="00A00D7B" w:rsidRPr="00A00D7B" w:rsidRDefault="00A00D7B" w:rsidP="00A00D7B">
            <w:pPr>
              <w:spacing w:before="100" w:beforeAutospacing="1" w:after="100" w:afterAutospacing="1"/>
              <w:jc w:val="right"/>
              <w:outlineLvl w:val="2"/>
              <w:rPr>
                <w:b/>
                <w:bCs/>
                <w:sz w:val="18"/>
                <w:szCs w:val="18"/>
              </w:rPr>
            </w:pPr>
            <w:r w:rsidRPr="00A00D7B">
              <w:rPr>
                <w:b/>
                <w:bCs/>
                <w:sz w:val="18"/>
                <w:szCs w:val="18"/>
              </w:rPr>
              <w:t>78.528.389</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b/>
                <w:bCs/>
                <w:sz w:val="18"/>
                <w:szCs w:val="18"/>
              </w:rPr>
            </w:pPr>
            <w:r w:rsidRPr="00A00D7B">
              <w:rPr>
                <w:rFonts w:cstheme="minorHAnsi"/>
                <w:b/>
                <w:bCs/>
                <w:sz w:val="18"/>
                <w:szCs w:val="18"/>
              </w:rPr>
              <w:t>Dugoročne obveze</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 </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Dugoročne krediti</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2.785.867</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35.943.594</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15.600.469</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15.257.344</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15.000.000</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15.000.000</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0</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Ostale dugoročne obaveze</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718.584</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382.584</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46.584</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0</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b/>
                <w:bCs/>
                <w:sz w:val="18"/>
                <w:szCs w:val="18"/>
              </w:rPr>
            </w:pPr>
            <w:r w:rsidRPr="00A00D7B">
              <w:rPr>
                <w:rFonts w:cstheme="minorHAnsi"/>
                <w:b/>
                <w:bCs/>
                <w:sz w:val="18"/>
                <w:szCs w:val="18"/>
              </w:rPr>
              <w:t>Ukupne dugoročne obveze</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3.504.451</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36.326.178</w:t>
            </w:r>
          </w:p>
        </w:tc>
        <w:tc>
          <w:tcPr>
            <w:tcW w:w="1042"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15.647.053</w:t>
            </w:r>
          </w:p>
        </w:tc>
        <w:tc>
          <w:tcPr>
            <w:tcW w:w="108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15.257.344</w:t>
            </w:r>
          </w:p>
        </w:tc>
        <w:tc>
          <w:tcPr>
            <w:tcW w:w="1042"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15.000.000</w:t>
            </w:r>
          </w:p>
        </w:tc>
        <w:tc>
          <w:tcPr>
            <w:tcW w:w="1085"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15.000.000</w:t>
            </w:r>
          </w:p>
        </w:tc>
        <w:tc>
          <w:tcPr>
            <w:tcW w:w="1134" w:type="dxa"/>
            <w:noWrap/>
            <w:hideMark/>
          </w:tcPr>
          <w:p w:rsidR="00A00D7B" w:rsidRPr="00A00D7B" w:rsidRDefault="00A00D7B" w:rsidP="00A00D7B">
            <w:pPr>
              <w:spacing w:before="100" w:beforeAutospacing="1" w:after="100" w:afterAutospacing="1"/>
              <w:jc w:val="right"/>
              <w:outlineLvl w:val="2"/>
              <w:rPr>
                <w:b/>
                <w:bCs/>
                <w:sz w:val="18"/>
                <w:szCs w:val="18"/>
              </w:rPr>
            </w:pPr>
            <w:r w:rsidRPr="00A00D7B">
              <w:rPr>
                <w:b/>
                <w:bCs/>
                <w:sz w:val="18"/>
                <w:szCs w:val="18"/>
              </w:rPr>
              <w:t>0</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b/>
                <w:bCs/>
                <w:sz w:val="18"/>
                <w:szCs w:val="18"/>
              </w:rPr>
            </w:pPr>
            <w:r w:rsidRPr="00A00D7B">
              <w:rPr>
                <w:rFonts w:cstheme="minorHAnsi"/>
                <w:b/>
                <w:bCs/>
                <w:sz w:val="18"/>
                <w:szCs w:val="18"/>
              </w:rPr>
              <w:t>Kratkoročne obveze</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 </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 </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Kratkoročni krediti</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544.823</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550.000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550.000</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550.000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550.000</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550.000</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550.000</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lastRenderedPageBreak/>
              <w:t>Obaveze za kamate</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978.978</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0</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Obveze prema dobavljačima</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5.276.887</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4.100.000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3.100.000</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3.100.000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3.100.000</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3.100.000</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3.100.000</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Avansi</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764.269</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0</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Ostale kratkoročne obveze</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26.424.679</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2.183.230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2.194.333</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2.205.551</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2.216.866</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2.228.339</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2.239.911</w:t>
            </w:r>
          </w:p>
        </w:tc>
      </w:tr>
      <w:tr w:rsidR="00A00D7B" w:rsidRPr="00A00D7B" w:rsidTr="00A00D7B">
        <w:trPr>
          <w:divId w:val="960039505"/>
          <w:trHeight w:val="300"/>
        </w:trPr>
        <w:tc>
          <w:tcPr>
            <w:tcW w:w="1838" w:type="dxa"/>
            <w:hideMark/>
          </w:tcPr>
          <w:p w:rsidR="00A00D7B" w:rsidRPr="00A00D7B" w:rsidRDefault="00A00D7B" w:rsidP="00A00D7B">
            <w:pPr>
              <w:spacing w:before="100" w:beforeAutospacing="1" w:after="100" w:afterAutospacing="1"/>
              <w:outlineLvl w:val="2"/>
              <w:rPr>
                <w:rFonts w:cstheme="minorHAnsi"/>
                <w:b/>
                <w:bCs/>
                <w:sz w:val="18"/>
                <w:szCs w:val="18"/>
              </w:rPr>
            </w:pPr>
            <w:r w:rsidRPr="00A00D7B">
              <w:rPr>
                <w:rFonts w:cstheme="minorHAnsi"/>
                <w:b/>
                <w:bCs/>
                <w:sz w:val="18"/>
                <w:szCs w:val="18"/>
              </w:rPr>
              <w:t>Ukupne kratkoročne obveze</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33.993.794</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6.833.230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5.844.333</w:t>
            </w:r>
          </w:p>
        </w:tc>
        <w:tc>
          <w:tcPr>
            <w:tcW w:w="108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5.855.551</w:t>
            </w:r>
          </w:p>
        </w:tc>
        <w:tc>
          <w:tcPr>
            <w:tcW w:w="1042"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5.866.866</w:t>
            </w:r>
          </w:p>
        </w:tc>
        <w:tc>
          <w:tcPr>
            <w:tcW w:w="1085"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5.878.339</w:t>
            </w:r>
          </w:p>
        </w:tc>
        <w:tc>
          <w:tcPr>
            <w:tcW w:w="1134" w:type="dxa"/>
            <w:noWrap/>
            <w:hideMark/>
          </w:tcPr>
          <w:p w:rsidR="00A00D7B" w:rsidRPr="00A00D7B" w:rsidRDefault="00A00D7B" w:rsidP="00A00D7B">
            <w:pPr>
              <w:spacing w:before="100" w:beforeAutospacing="1" w:after="100" w:afterAutospacing="1"/>
              <w:jc w:val="right"/>
              <w:outlineLvl w:val="2"/>
              <w:rPr>
                <w:b/>
                <w:bCs/>
                <w:sz w:val="18"/>
                <w:szCs w:val="18"/>
              </w:rPr>
            </w:pPr>
            <w:r w:rsidRPr="00A00D7B">
              <w:rPr>
                <w:b/>
                <w:bCs/>
                <w:sz w:val="18"/>
                <w:szCs w:val="18"/>
              </w:rPr>
              <w:t>5.889.911</w:t>
            </w:r>
          </w:p>
        </w:tc>
      </w:tr>
      <w:tr w:rsidR="00A00D7B" w:rsidRPr="00A00D7B" w:rsidTr="00A00D7B">
        <w:trPr>
          <w:divId w:val="960039505"/>
          <w:trHeight w:val="600"/>
        </w:trPr>
        <w:tc>
          <w:tcPr>
            <w:tcW w:w="1838" w:type="dxa"/>
            <w:hideMark/>
          </w:tcPr>
          <w:p w:rsidR="00A00D7B" w:rsidRPr="00A00D7B" w:rsidRDefault="00A00D7B" w:rsidP="00A00D7B">
            <w:pPr>
              <w:spacing w:before="100" w:beforeAutospacing="1" w:after="100" w:afterAutospacing="1"/>
              <w:outlineLvl w:val="2"/>
              <w:rPr>
                <w:rFonts w:cstheme="minorHAnsi"/>
                <w:sz w:val="18"/>
                <w:szCs w:val="18"/>
              </w:rPr>
            </w:pPr>
            <w:r w:rsidRPr="00A00D7B">
              <w:rPr>
                <w:rFonts w:cstheme="minorHAnsi"/>
                <w:sz w:val="18"/>
                <w:szCs w:val="18"/>
              </w:rPr>
              <w:t>Obračunati troškovi i prihodi budućih razdoblja</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10.818.798</w:t>
            </w:r>
          </w:p>
        </w:tc>
        <w:tc>
          <w:tcPr>
            <w:tcW w:w="113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84"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085" w:type="dxa"/>
            <w:noWrap/>
            <w:hideMark/>
          </w:tcPr>
          <w:p w:rsidR="00A00D7B" w:rsidRPr="00A00D7B" w:rsidRDefault="00A00D7B" w:rsidP="00A00D7B">
            <w:pPr>
              <w:spacing w:before="100" w:beforeAutospacing="1" w:after="100" w:afterAutospacing="1"/>
              <w:jc w:val="right"/>
              <w:outlineLvl w:val="2"/>
              <w:rPr>
                <w:rFonts w:cstheme="minorHAnsi"/>
                <w:sz w:val="18"/>
                <w:szCs w:val="18"/>
              </w:rPr>
            </w:pPr>
            <w:r w:rsidRPr="00A00D7B">
              <w:rPr>
                <w:rFonts w:cstheme="minorHAnsi"/>
                <w:sz w:val="18"/>
                <w:szCs w:val="18"/>
              </w:rPr>
              <w:t>0</w:t>
            </w:r>
          </w:p>
        </w:tc>
        <w:tc>
          <w:tcPr>
            <w:tcW w:w="1134" w:type="dxa"/>
            <w:noWrap/>
            <w:hideMark/>
          </w:tcPr>
          <w:p w:rsidR="00A00D7B" w:rsidRPr="00A00D7B" w:rsidRDefault="00A00D7B" w:rsidP="00A00D7B">
            <w:pPr>
              <w:spacing w:before="100" w:beforeAutospacing="1" w:after="100" w:afterAutospacing="1"/>
              <w:jc w:val="right"/>
              <w:outlineLvl w:val="2"/>
              <w:rPr>
                <w:sz w:val="18"/>
                <w:szCs w:val="18"/>
              </w:rPr>
            </w:pPr>
            <w:r w:rsidRPr="00A00D7B">
              <w:rPr>
                <w:sz w:val="18"/>
                <w:szCs w:val="18"/>
              </w:rPr>
              <w:t>0</w:t>
            </w:r>
          </w:p>
        </w:tc>
      </w:tr>
      <w:tr w:rsidR="00A00D7B" w:rsidRPr="00A00D7B" w:rsidTr="00A00D7B">
        <w:trPr>
          <w:divId w:val="960039505"/>
          <w:trHeight w:val="315"/>
        </w:trPr>
        <w:tc>
          <w:tcPr>
            <w:tcW w:w="1838" w:type="dxa"/>
            <w:hideMark/>
          </w:tcPr>
          <w:p w:rsidR="00A00D7B" w:rsidRPr="00A00D7B" w:rsidRDefault="00A00D7B" w:rsidP="00A00D7B">
            <w:pPr>
              <w:spacing w:before="100" w:beforeAutospacing="1" w:after="100" w:afterAutospacing="1"/>
              <w:outlineLvl w:val="2"/>
              <w:rPr>
                <w:rFonts w:cstheme="minorHAnsi"/>
                <w:b/>
                <w:bCs/>
                <w:sz w:val="18"/>
                <w:szCs w:val="18"/>
              </w:rPr>
            </w:pPr>
            <w:r w:rsidRPr="00A00D7B">
              <w:rPr>
                <w:rFonts w:cstheme="minorHAnsi"/>
                <w:b/>
                <w:bCs/>
                <w:sz w:val="18"/>
                <w:szCs w:val="18"/>
              </w:rPr>
              <w:t>Ukupno kapital &amp; obveze</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109.911.774</w:t>
            </w:r>
          </w:p>
        </w:tc>
        <w:tc>
          <w:tcPr>
            <w:tcW w:w="113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107.933.380</w:t>
            </w:r>
          </w:p>
        </w:tc>
        <w:tc>
          <w:tcPr>
            <w:tcW w:w="1042"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87.036.042</w:t>
            </w:r>
          </w:p>
        </w:tc>
        <w:tc>
          <w:tcPr>
            <w:tcW w:w="1084"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89.359.727</w:t>
            </w:r>
          </w:p>
        </w:tc>
        <w:tc>
          <w:tcPr>
            <w:tcW w:w="1042"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92.170.962</w:t>
            </w:r>
          </w:p>
        </w:tc>
        <w:tc>
          <w:tcPr>
            <w:tcW w:w="1085" w:type="dxa"/>
            <w:noWrap/>
            <w:hideMark/>
          </w:tcPr>
          <w:p w:rsidR="00A00D7B" w:rsidRPr="00A00D7B" w:rsidRDefault="00A00D7B" w:rsidP="00A00D7B">
            <w:pPr>
              <w:spacing w:before="100" w:beforeAutospacing="1" w:after="100" w:afterAutospacing="1"/>
              <w:jc w:val="right"/>
              <w:outlineLvl w:val="2"/>
              <w:rPr>
                <w:rFonts w:cstheme="minorHAnsi"/>
                <w:b/>
                <w:bCs/>
                <w:sz w:val="18"/>
                <w:szCs w:val="18"/>
              </w:rPr>
            </w:pPr>
            <w:r w:rsidRPr="00A00D7B">
              <w:rPr>
                <w:rFonts w:cstheme="minorHAnsi"/>
                <w:b/>
                <w:bCs/>
                <w:sz w:val="18"/>
                <w:szCs w:val="18"/>
              </w:rPr>
              <w:t>95.261.349</w:t>
            </w:r>
          </w:p>
        </w:tc>
        <w:tc>
          <w:tcPr>
            <w:tcW w:w="1134" w:type="dxa"/>
            <w:noWrap/>
            <w:hideMark/>
          </w:tcPr>
          <w:p w:rsidR="00A00D7B" w:rsidRPr="00A00D7B" w:rsidRDefault="00A00D7B" w:rsidP="00A00D7B">
            <w:pPr>
              <w:spacing w:before="100" w:beforeAutospacing="1" w:after="100" w:afterAutospacing="1"/>
              <w:jc w:val="right"/>
              <w:outlineLvl w:val="2"/>
              <w:rPr>
                <w:b/>
                <w:bCs/>
                <w:sz w:val="18"/>
                <w:szCs w:val="18"/>
              </w:rPr>
            </w:pPr>
            <w:r w:rsidRPr="00A00D7B">
              <w:rPr>
                <w:b/>
                <w:bCs/>
                <w:sz w:val="18"/>
                <w:szCs w:val="18"/>
              </w:rPr>
              <w:t>84.418.300</w:t>
            </w:r>
          </w:p>
        </w:tc>
      </w:tr>
    </w:tbl>
    <w:p w:rsidR="005B54AD" w:rsidRDefault="005B54AD" w:rsidP="005B54AD">
      <w:pPr>
        <w:spacing w:before="100" w:beforeAutospacing="1" w:after="100" w:afterAutospacing="1" w:line="240" w:lineRule="auto"/>
        <w:outlineLvl w:val="2"/>
        <w:rPr>
          <w:rFonts w:eastAsia="Times New Roman" w:cstheme="minorHAnsi"/>
          <w:b/>
          <w:bCs/>
          <w:lang w:eastAsia="hr-BA"/>
        </w:rPr>
      </w:pPr>
      <w:r>
        <w:fldChar w:fldCharType="end"/>
      </w:r>
      <w:r>
        <w:rPr>
          <w:rFonts w:eastAsia="Times New Roman" w:cstheme="minorHAnsi"/>
          <w:b/>
          <w:bCs/>
          <w:lang w:eastAsia="hr-BA"/>
        </w:rPr>
        <w:t>8.2. Projekcija bilansa uspjeha</w:t>
      </w:r>
    </w:p>
    <w:p w:rsidR="005B54AD" w:rsidRPr="00D87257" w:rsidRDefault="005B54AD" w:rsidP="005B54AD">
      <w:pPr>
        <w:spacing w:before="100" w:beforeAutospacing="1" w:after="100" w:afterAutospacing="1" w:line="240" w:lineRule="auto"/>
        <w:jc w:val="both"/>
        <w:rPr>
          <w:rFonts w:eastAsia="Times New Roman" w:cstheme="minorHAnsi"/>
          <w:lang w:eastAsia="hr-BA"/>
        </w:rPr>
      </w:pPr>
      <w:r w:rsidRPr="00D87257">
        <w:rPr>
          <w:rFonts w:eastAsia="Times New Roman" w:cstheme="minorHAnsi"/>
          <w:lang w:eastAsia="hr-BA"/>
        </w:rPr>
        <w:t>Projekcija bilansa uspjeha za razdoblje 2025–2030 ukazuje na stabilan i održiv rast poslovnih prihoda, kao i na povećanje profitabilnosti Društva.</w:t>
      </w:r>
    </w:p>
    <w:p w:rsidR="005B54AD" w:rsidRPr="00D87257" w:rsidRDefault="005B54AD" w:rsidP="005B54AD">
      <w:pPr>
        <w:pStyle w:val="ListParagraph"/>
        <w:numPr>
          <w:ilvl w:val="0"/>
          <w:numId w:val="8"/>
        </w:numPr>
        <w:spacing w:before="100" w:beforeAutospacing="1" w:after="100" w:afterAutospacing="1" w:line="240" w:lineRule="auto"/>
        <w:jc w:val="both"/>
        <w:rPr>
          <w:rFonts w:eastAsia="Times New Roman" w:cstheme="minorHAnsi"/>
          <w:lang w:eastAsia="hr-BA"/>
        </w:rPr>
      </w:pPr>
      <w:r w:rsidRPr="00D87257">
        <w:rPr>
          <w:rFonts w:eastAsia="Times New Roman" w:cstheme="minorHAnsi"/>
          <w:lang w:eastAsia="hr-BA"/>
        </w:rPr>
        <w:t>Ukupni prihodi rastu s 30,28 miliona KM u 2025. na 31,89 miliona KM u 2030. godini, što je rezultat blagog, ali konzistentnog rasta prihoda od prodaje proizvoda i prihoda od iznajmljivanja nekretnina. Prihodi od prodaje vlastitih proizvoda ostaju dominantni izvor, uz stabilan godišnji rast.</w:t>
      </w:r>
    </w:p>
    <w:p w:rsidR="005B54AD" w:rsidRPr="00D87257" w:rsidRDefault="005B54AD" w:rsidP="005B54AD">
      <w:pPr>
        <w:pStyle w:val="ListParagraph"/>
        <w:numPr>
          <w:ilvl w:val="0"/>
          <w:numId w:val="8"/>
        </w:numPr>
        <w:spacing w:before="100" w:beforeAutospacing="1" w:after="100" w:afterAutospacing="1" w:line="240" w:lineRule="auto"/>
        <w:jc w:val="both"/>
        <w:rPr>
          <w:rFonts w:eastAsia="Times New Roman" w:cstheme="minorHAnsi"/>
          <w:lang w:eastAsia="hr-BA"/>
        </w:rPr>
      </w:pPr>
      <w:r w:rsidRPr="00D87257">
        <w:rPr>
          <w:rFonts w:eastAsia="Times New Roman" w:cstheme="minorHAnsi"/>
          <w:lang w:eastAsia="hr-BA"/>
        </w:rPr>
        <w:t>Ukupni operativni troškovi pokazuju kontrolisan trend, uz blago smanjenje u kasnijim godinama projekcije. Posebno je značajno smanjenje materijalnih i uslužnih troškova, što ukazuje na povećanje operativne efikasnosti. Troškovi osoblja ostaju stabilni, što upućuje na očuvanje kadrovske strukture bez značajnijih oscilacija.</w:t>
      </w:r>
    </w:p>
    <w:p w:rsidR="005B54AD" w:rsidRPr="00D87257" w:rsidRDefault="005B54AD" w:rsidP="005B54AD">
      <w:pPr>
        <w:pStyle w:val="ListParagraph"/>
        <w:numPr>
          <w:ilvl w:val="0"/>
          <w:numId w:val="8"/>
        </w:numPr>
        <w:spacing w:before="100" w:beforeAutospacing="1" w:after="100" w:afterAutospacing="1" w:line="240" w:lineRule="auto"/>
        <w:jc w:val="both"/>
        <w:rPr>
          <w:rFonts w:eastAsia="Times New Roman" w:cstheme="minorHAnsi"/>
          <w:lang w:eastAsia="hr-BA"/>
        </w:rPr>
      </w:pPr>
      <w:r w:rsidRPr="00D87257">
        <w:rPr>
          <w:rFonts w:eastAsia="Times New Roman" w:cstheme="minorHAnsi"/>
          <w:lang w:eastAsia="hr-BA"/>
        </w:rPr>
        <w:t>Finansijski troškovi su najviši u 2025. godini zbog planiranih zaduženja, ali se već od 2026. godine značajno smanjuju, prateći planiranu dinamiku otplate duga. Izvanredni prihodi u 2025. godini (8,05 miliona KM) dodatno poboljšavaju rezultat te godine i odnose se na jednokratne prihode iz nestandardnih izvora.</w:t>
      </w:r>
    </w:p>
    <w:p w:rsidR="005B54AD" w:rsidRDefault="005B54AD" w:rsidP="005B54AD">
      <w:pPr>
        <w:spacing w:before="100" w:beforeAutospacing="1" w:after="100" w:afterAutospacing="1" w:line="240" w:lineRule="auto"/>
        <w:jc w:val="both"/>
        <w:rPr>
          <w:rFonts w:eastAsia="Times New Roman" w:cstheme="minorHAnsi"/>
          <w:lang w:eastAsia="hr-BA"/>
        </w:rPr>
      </w:pPr>
      <w:r w:rsidRPr="00D87257">
        <w:rPr>
          <w:rFonts w:eastAsia="Times New Roman" w:cstheme="minorHAnsi"/>
          <w:lang w:eastAsia="hr-BA"/>
        </w:rPr>
        <w:t>Neto dobit bilježi značajan rast – sa 47.567 KM u 2024. na 3,18 miliona KM u 2025, a zatim do 4,15 miliona KM u 2030. godini</w:t>
      </w:r>
      <w:r>
        <w:rPr>
          <w:rFonts w:eastAsia="Times New Roman" w:cstheme="minorHAnsi"/>
          <w:lang w:eastAsia="hr-BA"/>
        </w:rPr>
        <w:t>, kada se izmiruje glavnica obveznica</w:t>
      </w:r>
      <w:r w:rsidRPr="00D87257">
        <w:rPr>
          <w:rFonts w:eastAsia="Times New Roman" w:cstheme="minorHAnsi"/>
          <w:lang w:eastAsia="hr-BA"/>
        </w:rPr>
        <w:t>. Neto profitna marža raste s 0,17% u 2024. na 13% u 2030. godini, što odražava povećanu profitabilnost poslovanja i unapređenje troškovne efikasnosti</w:t>
      </w:r>
      <w:r>
        <w:rPr>
          <w:rFonts w:eastAsia="Times New Roman" w:cstheme="minorHAnsi"/>
          <w:lang w:eastAsia="hr-BA"/>
        </w:rPr>
        <w:t>.</w:t>
      </w:r>
    </w:p>
    <w:p w:rsidR="005B54AD" w:rsidRPr="00E70BF3" w:rsidRDefault="005B54AD" w:rsidP="005B54AD">
      <w:pPr>
        <w:spacing w:before="100" w:beforeAutospacing="1" w:after="100" w:afterAutospacing="1" w:line="240" w:lineRule="auto"/>
        <w:rPr>
          <w:rFonts w:eastAsia="Times New Roman" w:cstheme="minorHAnsi"/>
          <w:lang w:eastAsia="hr-BA"/>
        </w:rPr>
      </w:pPr>
      <w:r w:rsidRPr="00E70BF3">
        <w:rPr>
          <w:rFonts w:eastAsia="Times New Roman" w:cstheme="minorHAnsi"/>
          <w:b/>
          <w:bCs/>
          <w:lang w:eastAsia="hr-BA"/>
        </w:rPr>
        <w:t xml:space="preserve">Projekcija </w:t>
      </w:r>
      <w:r>
        <w:rPr>
          <w:rFonts w:eastAsia="Times New Roman" w:cstheme="minorHAnsi"/>
          <w:b/>
          <w:bCs/>
          <w:lang w:eastAsia="hr-BA"/>
        </w:rPr>
        <w:t>bilansa stanja</w:t>
      </w:r>
      <w:r w:rsidRPr="00E70BF3">
        <w:rPr>
          <w:rFonts w:eastAsia="Times New Roman" w:cstheme="minorHAnsi"/>
          <w:b/>
          <w:bCs/>
          <w:lang w:eastAsia="hr-BA"/>
        </w:rPr>
        <w:t xml:space="preserve"> za 2025-2030</w:t>
      </w:r>
      <w:r w:rsidRPr="00E70BF3">
        <w:rPr>
          <w:rFonts w:eastAsia="Times New Roman" w:cstheme="minorHAnsi"/>
          <w:lang w:eastAsia="hr-BA"/>
        </w:rPr>
        <w:t>:</w:t>
      </w:r>
    </w:p>
    <w:tbl>
      <w:tblPr>
        <w:tblStyle w:val="TableGrid"/>
        <w:tblW w:w="926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657"/>
        <w:gridCol w:w="1050"/>
        <w:gridCol w:w="1042"/>
        <w:gridCol w:w="1061"/>
        <w:gridCol w:w="1163"/>
        <w:gridCol w:w="1042"/>
        <w:gridCol w:w="1202"/>
        <w:gridCol w:w="1053"/>
      </w:tblGrid>
      <w:tr w:rsidR="005B54AD" w:rsidRPr="00D87257" w:rsidTr="005B54AD">
        <w:trPr>
          <w:trHeight w:val="315"/>
        </w:trPr>
        <w:tc>
          <w:tcPr>
            <w:tcW w:w="1657" w:type="dxa"/>
            <w:noWrap/>
            <w:hideMark/>
          </w:tcPr>
          <w:p w:rsidR="005B54AD" w:rsidRPr="005B54AD" w:rsidRDefault="005B54AD" w:rsidP="00037DE7">
            <w:pPr>
              <w:spacing w:before="100" w:beforeAutospacing="1" w:after="100" w:afterAutospacing="1"/>
              <w:jc w:val="both"/>
              <w:rPr>
                <w:rFonts w:eastAsia="Times New Roman" w:cstheme="minorHAnsi"/>
                <w:b/>
                <w:bCs/>
                <w:sz w:val="18"/>
                <w:szCs w:val="18"/>
                <w:lang w:eastAsia="hr-BA"/>
              </w:rPr>
            </w:pPr>
            <w:r w:rsidRPr="005B54AD">
              <w:rPr>
                <w:rFonts w:eastAsia="Times New Roman" w:cstheme="minorHAnsi"/>
                <w:b/>
                <w:bCs/>
                <w:sz w:val="18"/>
                <w:szCs w:val="18"/>
                <w:lang w:eastAsia="hr-BA"/>
              </w:rPr>
              <w:t>Bilans uspjeha</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 </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plan</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plan</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plan</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plan</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plan</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plan</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b/>
                <w:bCs/>
                <w:sz w:val="18"/>
                <w:szCs w:val="18"/>
                <w:lang w:eastAsia="hr-BA"/>
              </w:rPr>
            </w:pPr>
            <w:r w:rsidRPr="005B54AD">
              <w:rPr>
                <w:rFonts w:eastAsia="Times New Roman" w:cstheme="minorHAnsi"/>
                <w:b/>
                <w:bCs/>
                <w:sz w:val="18"/>
                <w:szCs w:val="18"/>
                <w:lang w:eastAsia="hr-BA"/>
              </w:rPr>
              <w:t>u KM</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2024</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2025</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2026</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2027</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2028</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2029</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2030</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b/>
                <w:bCs/>
                <w:sz w:val="18"/>
                <w:szCs w:val="18"/>
                <w:lang w:eastAsia="hr-BA"/>
              </w:rPr>
            </w:pPr>
            <w:r w:rsidRPr="005B54AD">
              <w:rPr>
                <w:rFonts w:eastAsia="Times New Roman" w:cstheme="minorHAnsi"/>
                <w:b/>
                <w:bCs/>
                <w:sz w:val="18"/>
                <w:szCs w:val="18"/>
                <w:lang w:eastAsia="hr-BA"/>
              </w:rPr>
              <w:t xml:space="preserve">Prihodi </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 </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 </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 </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 </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 </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 </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 </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sz w:val="18"/>
                <w:szCs w:val="18"/>
                <w:lang w:eastAsia="hr-BA"/>
              </w:rPr>
            </w:pPr>
            <w:r w:rsidRPr="005B54AD">
              <w:rPr>
                <w:rFonts w:eastAsia="Times New Roman" w:cstheme="minorHAnsi"/>
                <w:sz w:val="18"/>
                <w:szCs w:val="18"/>
                <w:lang w:eastAsia="hr-BA"/>
              </w:rPr>
              <w:t>Prihodi od Prodaje robe</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25.038</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26.040</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27.081</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28.164</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29.291</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30.463</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31.681</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sz w:val="18"/>
                <w:szCs w:val="18"/>
                <w:lang w:eastAsia="hr-BA"/>
              </w:rPr>
            </w:pPr>
            <w:r w:rsidRPr="005B54AD">
              <w:rPr>
                <w:rFonts w:eastAsia="Times New Roman" w:cstheme="minorHAnsi"/>
                <w:sz w:val="18"/>
                <w:szCs w:val="18"/>
                <w:lang w:eastAsia="hr-BA"/>
              </w:rPr>
              <w:t>Prihod od prodaje vlastitih proizvoda</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28.481.752</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30.032.200</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30.332.522</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30.656.612</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30.963.178</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31.272.809</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31.585.538</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sz w:val="18"/>
                <w:szCs w:val="18"/>
                <w:lang w:eastAsia="hr-BA"/>
              </w:rPr>
            </w:pPr>
            <w:r w:rsidRPr="005B54AD">
              <w:rPr>
                <w:rFonts w:eastAsia="Times New Roman" w:cstheme="minorHAnsi"/>
                <w:sz w:val="18"/>
                <w:szCs w:val="18"/>
                <w:lang w:eastAsia="hr-BA"/>
              </w:rPr>
              <w:t>Prihodi od iznajmljivanja nekretnina</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212.050</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220.532</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229.353</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238.527</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248.069</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257.991</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268.311</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b/>
                <w:bCs/>
                <w:sz w:val="18"/>
                <w:szCs w:val="18"/>
                <w:lang w:eastAsia="hr-BA"/>
              </w:rPr>
            </w:pPr>
            <w:r w:rsidRPr="005B54AD">
              <w:rPr>
                <w:rFonts w:eastAsia="Times New Roman" w:cstheme="minorHAnsi"/>
                <w:b/>
                <w:bCs/>
                <w:sz w:val="18"/>
                <w:szCs w:val="18"/>
                <w:lang w:eastAsia="hr-BA"/>
              </w:rPr>
              <w:t xml:space="preserve">Ukupno prihodi </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28.718.840</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30.278.772</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30.588.956</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30.923.303</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31.240.538</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31.561.263</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31.885.530</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sz w:val="18"/>
                <w:szCs w:val="18"/>
                <w:lang w:eastAsia="hr-BA"/>
              </w:rPr>
            </w:pPr>
            <w:r w:rsidRPr="005B54AD">
              <w:rPr>
                <w:rFonts w:eastAsia="Times New Roman" w:cstheme="minorHAnsi"/>
                <w:sz w:val="18"/>
                <w:szCs w:val="18"/>
                <w:lang w:eastAsia="hr-BA"/>
              </w:rPr>
              <w:t>Trošak prodaje</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11.763.751</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11.881.389</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12.000.202</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12.120.204</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12.241.406</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12.363.821</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12.487.459</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b/>
                <w:bCs/>
                <w:sz w:val="18"/>
                <w:szCs w:val="18"/>
                <w:lang w:eastAsia="hr-BA"/>
              </w:rPr>
            </w:pPr>
            <w:r w:rsidRPr="005B54AD">
              <w:rPr>
                <w:rFonts w:eastAsia="Times New Roman" w:cstheme="minorHAnsi"/>
                <w:b/>
                <w:bCs/>
                <w:sz w:val="18"/>
                <w:szCs w:val="18"/>
                <w:lang w:eastAsia="hr-BA"/>
              </w:rPr>
              <w:t>Operativni troškovi</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 </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 </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 </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 </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 </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 </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 </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sz w:val="18"/>
                <w:szCs w:val="18"/>
                <w:lang w:eastAsia="hr-BA"/>
              </w:rPr>
            </w:pPr>
            <w:r w:rsidRPr="005B54AD">
              <w:rPr>
                <w:rFonts w:eastAsia="Times New Roman" w:cstheme="minorHAnsi"/>
                <w:sz w:val="18"/>
                <w:szCs w:val="18"/>
                <w:lang w:eastAsia="hr-BA"/>
              </w:rPr>
              <w:lastRenderedPageBreak/>
              <w:t>Materijalni troškovi</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1.805.883</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1.531.107</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1.546.419</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1.561.883</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1.104.462</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1.115.506</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1.126.661</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sz w:val="18"/>
                <w:szCs w:val="18"/>
                <w:lang w:eastAsia="hr-BA"/>
              </w:rPr>
            </w:pPr>
            <w:r w:rsidRPr="005B54AD">
              <w:rPr>
                <w:rFonts w:eastAsia="Times New Roman" w:cstheme="minorHAnsi"/>
                <w:sz w:val="18"/>
                <w:szCs w:val="18"/>
                <w:lang w:eastAsia="hr-BA"/>
              </w:rPr>
              <w:t>Troškovi usluga</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1.696.342</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1.361.489</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1.872.675</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1.888.974</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1.906.189</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1.923.576</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1.441.137</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sz w:val="18"/>
                <w:szCs w:val="18"/>
                <w:lang w:eastAsia="hr-BA"/>
              </w:rPr>
            </w:pPr>
            <w:r w:rsidRPr="005B54AD">
              <w:rPr>
                <w:rFonts w:eastAsia="Times New Roman" w:cstheme="minorHAnsi"/>
                <w:sz w:val="18"/>
                <w:szCs w:val="18"/>
                <w:lang w:eastAsia="hr-BA"/>
              </w:rPr>
              <w:t>Troškovi osoblja</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5.625.023</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5.673.771</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5.745.389</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5.767.116</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5.788.952</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5.810.897</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5.832.951</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sz w:val="18"/>
                <w:szCs w:val="18"/>
                <w:lang w:eastAsia="hr-BA"/>
              </w:rPr>
            </w:pPr>
            <w:r w:rsidRPr="005B54AD">
              <w:rPr>
                <w:rFonts w:eastAsia="Times New Roman" w:cstheme="minorHAnsi"/>
                <w:sz w:val="18"/>
                <w:szCs w:val="18"/>
                <w:lang w:eastAsia="hr-BA"/>
              </w:rPr>
              <w:t>Ostali operativni troškovi</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2.333.353</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2.408.996</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2.433.086</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2.457.417</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2.481.991</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2.506.811</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2.531.879</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b/>
                <w:bCs/>
                <w:sz w:val="18"/>
                <w:szCs w:val="18"/>
                <w:lang w:eastAsia="hr-BA"/>
              </w:rPr>
            </w:pPr>
            <w:r w:rsidRPr="005B54AD">
              <w:rPr>
                <w:rFonts w:eastAsia="Times New Roman" w:cstheme="minorHAnsi"/>
                <w:b/>
                <w:bCs/>
                <w:sz w:val="18"/>
                <w:szCs w:val="18"/>
                <w:lang w:eastAsia="hr-BA"/>
              </w:rPr>
              <w:t>Ukupni operativni troškovi</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11.460.601</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10.975.363</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11.597.569</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11.675.390</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11.281.594</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11.356.790</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10.932.628</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sz w:val="18"/>
                <w:szCs w:val="18"/>
                <w:lang w:eastAsia="hr-BA"/>
              </w:rPr>
            </w:pPr>
            <w:r w:rsidRPr="005B54AD">
              <w:rPr>
                <w:rFonts w:eastAsia="Times New Roman" w:cstheme="minorHAnsi"/>
                <w:sz w:val="18"/>
                <w:szCs w:val="18"/>
                <w:lang w:eastAsia="hr-BA"/>
              </w:rPr>
              <w:t>Amortizacija</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2.452.852</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2.135.275</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2.050.357</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2.780.908</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2.980.908</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3.079.188</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3.079.188</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sz w:val="18"/>
                <w:szCs w:val="18"/>
                <w:lang w:eastAsia="hr-BA"/>
              </w:rPr>
            </w:pPr>
            <w:r w:rsidRPr="005B54AD">
              <w:rPr>
                <w:rFonts w:eastAsia="Times New Roman" w:cstheme="minorHAnsi"/>
                <w:sz w:val="18"/>
                <w:szCs w:val="18"/>
                <w:lang w:eastAsia="hr-BA"/>
              </w:rPr>
              <w:t>Financijski rezultat</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-596.387</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-9.428.779</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-3.708.025</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-967.130</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-961.644</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-961.644</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-400.685</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b/>
                <w:bCs/>
                <w:sz w:val="18"/>
                <w:szCs w:val="18"/>
                <w:lang w:eastAsia="hr-BA"/>
              </w:rPr>
            </w:pPr>
            <w:r w:rsidRPr="005B54AD">
              <w:rPr>
                <w:rFonts w:eastAsia="Times New Roman" w:cstheme="minorHAnsi"/>
                <w:b/>
                <w:bCs/>
                <w:sz w:val="18"/>
                <w:szCs w:val="18"/>
                <w:lang w:eastAsia="hr-BA"/>
              </w:rPr>
              <w:t>Financijski prihodi</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28.385</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0</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0</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0</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0</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0</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0</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b/>
                <w:bCs/>
                <w:sz w:val="18"/>
                <w:szCs w:val="18"/>
                <w:lang w:eastAsia="hr-BA"/>
              </w:rPr>
            </w:pPr>
            <w:r w:rsidRPr="005B54AD">
              <w:rPr>
                <w:rFonts w:eastAsia="Times New Roman" w:cstheme="minorHAnsi"/>
                <w:b/>
                <w:bCs/>
                <w:sz w:val="18"/>
                <w:szCs w:val="18"/>
                <w:lang w:eastAsia="hr-BA"/>
              </w:rPr>
              <w:t>Financijski troškovi</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624.772</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9.428.779</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3.708.025</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967.130</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961.644</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961.644</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400.685</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b/>
                <w:bCs/>
                <w:sz w:val="18"/>
                <w:szCs w:val="18"/>
                <w:lang w:eastAsia="hr-BA"/>
              </w:rPr>
            </w:pPr>
            <w:r w:rsidRPr="005B54AD">
              <w:rPr>
                <w:rFonts w:eastAsia="Times New Roman" w:cstheme="minorHAnsi"/>
                <w:b/>
                <w:bCs/>
                <w:sz w:val="18"/>
                <w:szCs w:val="18"/>
                <w:lang w:eastAsia="hr-BA"/>
              </w:rPr>
              <w:t>Izvanredni prihod</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1.842.746</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8.050.255</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0</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0</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0</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0</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0</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b/>
                <w:bCs/>
                <w:sz w:val="18"/>
                <w:szCs w:val="18"/>
                <w:lang w:eastAsia="hr-BA"/>
              </w:rPr>
            </w:pPr>
            <w:r w:rsidRPr="005B54AD">
              <w:rPr>
                <w:rFonts w:eastAsia="Times New Roman" w:cstheme="minorHAnsi"/>
                <w:b/>
                <w:bCs/>
                <w:sz w:val="18"/>
                <w:szCs w:val="18"/>
                <w:lang w:eastAsia="hr-BA"/>
              </w:rPr>
              <w:t>Izvanredni troškovi</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4.228.416</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375.731</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376.488</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377.253</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378.025</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378.806</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379.594</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b/>
                <w:bCs/>
                <w:sz w:val="18"/>
                <w:szCs w:val="18"/>
                <w:lang w:eastAsia="hr-BA"/>
              </w:rPr>
            </w:pPr>
            <w:r w:rsidRPr="005B54AD">
              <w:rPr>
                <w:rFonts w:eastAsia="Times New Roman" w:cstheme="minorHAnsi"/>
                <w:b/>
                <w:bCs/>
                <w:sz w:val="18"/>
                <w:szCs w:val="18"/>
                <w:lang w:eastAsia="hr-BA"/>
              </w:rPr>
              <w:t>Ukupni prihodi</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30.589.971</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38.329.027</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30.588.956</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30.923.303</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31.240.538</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31.561.263</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31.885.530</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b/>
                <w:bCs/>
                <w:sz w:val="18"/>
                <w:szCs w:val="18"/>
                <w:lang w:eastAsia="hr-BA"/>
              </w:rPr>
            </w:pPr>
            <w:r w:rsidRPr="005B54AD">
              <w:rPr>
                <w:rFonts w:eastAsia="Times New Roman" w:cstheme="minorHAnsi"/>
                <w:b/>
                <w:bCs/>
                <w:sz w:val="18"/>
                <w:szCs w:val="18"/>
                <w:lang w:eastAsia="hr-BA"/>
              </w:rPr>
              <w:t>Ukupni troškovi</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30.530.392</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34.796.537</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29.732.641</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27.920.885</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27.843.577</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28.140.249</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27.279.554</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b/>
                <w:bCs/>
                <w:sz w:val="18"/>
                <w:szCs w:val="18"/>
                <w:lang w:eastAsia="hr-BA"/>
              </w:rPr>
            </w:pPr>
            <w:r w:rsidRPr="005B54AD">
              <w:rPr>
                <w:rFonts w:eastAsia="Times New Roman" w:cstheme="minorHAnsi"/>
                <w:b/>
                <w:bCs/>
                <w:sz w:val="18"/>
                <w:szCs w:val="18"/>
                <w:lang w:eastAsia="hr-BA"/>
              </w:rPr>
              <w:t>Dobit prije oporezivanja</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59.579</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3.532.490</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856.315</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3.002.418</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3.396.961</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3.421.014</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4.605.976</w:t>
            </w:r>
          </w:p>
        </w:tc>
      </w:tr>
      <w:tr w:rsidR="005B54AD" w:rsidRPr="00D87257" w:rsidTr="005B54AD">
        <w:trPr>
          <w:trHeight w:val="300"/>
        </w:trPr>
        <w:tc>
          <w:tcPr>
            <w:tcW w:w="1657" w:type="dxa"/>
            <w:noWrap/>
            <w:hideMark/>
          </w:tcPr>
          <w:p w:rsidR="005B54AD" w:rsidRPr="005B54AD" w:rsidRDefault="005B54AD" w:rsidP="00037DE7">
            <w:pPr>
              <w:spacing w:before="100" w:beforeAutospacing="1" w:after="100" w:afterAutospacing="1"/>
              <w:rPr>
                <w:rFonts w:eastAsia="Times New Roman" w:cstheme="minorHAnsi"/>
                <w:sz w:val="18"/>
                <w:szCs w:val="18"/>
                <w:lang w:eastAsia="hr-BA"/>
              </w:rPr>
            </w:pPr>
            <w:r w:rsidRPr="005B54AD">
              <w:rPr>
                <w:rFonts w:eastAsia="Times New Roman" w:cstheme="minorHAnsi"/>
                <w:sz w:val="18"/>
                <w:szCs w:val="18"/>
                <w:lang w:eastAsia="hr-BA"/>
              </w:rPr>
              <w:t>Porez</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12.012</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353.249</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85.632</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300.242</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339.696</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342.101</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sz w:val="18"/>
                <w:szCs w:val="18"/>
                <w:lang w:eastAsia="hr-BA"/>
              </w:rPr>
            </w:pPr>
            <w:r w:rsidRPr="005B54AD">
              <w:rPr>
                <w:rFonts w:eastAsia="Times New Roman" w:cstheme="minorHAnsi"/>
                <w:sz w:val="18"/>
                <w:szCs w:val="18"/>
                <w:lang w:eastAsia="hr-BA"/>
              </w:rPr>
              <w:t>460.598</w:t>
            </w:r>
          </w:p>
        </w:tc>
      </w:tr>
      <w:tr w:rsidR="005B54AD" w:rsidRPr="00D87257" w:rsidTr="005B54AD">
        <w:trPr>
          <w:trHeight w:val="315"/>
        </w:trPr>
        <w:tc>
          <w:tcPr>
            <w:tcW w:w="1657" w:type="dxa"/>
            <w:noWrap/>
            <w:hideMark/>
          </w:tcPr>
          <w:p w:rsidR="005B54AD" w:rsidRPr="005B54AD" w:rsidRDefault="005B54AD" w:rsidP="00037DE7">
            <w:pPr>
              <w:spacing w:before="100" w:beforeAutospacing="1" w:after="100" w:afterAutospacing="1"/>
              <w:rPr>
                <w:rFonts w:eastAsia="Times New Roman" w:cstheme="minorHAnsi"/>
                <w:b/>
                <w:bCs/>
                <w:sz w:val="18"/>
                <w:szCs w:val="18"/>
                <w:lang w:eastAsia="hr-BA"/>
              </w:rPr>
            </w:pPr>
            <w:r w:rsidRPr="005B54AD">
              <w:rPr>
                <w:rFonts w:eastAsia="Times New Roman" w:cstheme="minorHAnsi"/>
                <w:b/>
                <w:bCs/>
                <w:sz w:val="18"/>
                <w:szCs w:val="18"/>
                <w:lang w:eastAsia="hr-BA"/>
              </w:rPr>
              <w:t>Neto dobit</w:t>
            </w:r>
          </w:p>
        </w:tc>
        <w:tc>
          <w:tcPr>
            <w:tcW w:w="1050"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47.567</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3.179.241</w:t>
            </w:r>
          </w:p>
        </w:tc>
        <w:tc>
          <w:tcPr>
            <w:tcW w:w="1061"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770.684</w:t>
            </w:r>
          </w:p>
        </w:tc>
        <w:tc>
          <w:tcPr>
            <w:tcW w:w="116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2.702.176</w:t>
            </w:r>
          </w:p>
        </w:tc>
        <w:tc>
          <w:tcPr>
            <w:tcW w:w="1037"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3.057.265</w:t>
            </w:r>
          </w:p>
        </w:tc>
        <w:tc>
          <w:tcPr>
            <w:tcW w:w="1202"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3.078.913</w:t>
            </w:r>
          </w:p>
        </w:tc>
        <w:tc>
          <w:tcPr>
            <w:tcW w:w="1053" w:type="dxa"/>
            <w:noWrap/>
            <w:hideMark/>
          </w:tcPr>
          <w:p w:rsidR="005B54AD" w:rsidRPr="005B54AD" w:rsidRDefault="005B54AD" w:rsidP="005B54AD">
            <w:pPr>
              <w:spacing w:before="100" w:beforeAutospacing="1" w:after="100" w:afterAutospacing="1"/>
              <w:jc w:val="right"/>
              <w:rPr>
                <w:rFonts w:eastAsia="Times New Roman" w:cstheme="minorHAnsi"/>
                <w:b/>
                <w:bCs/>
                <w:sz w:val="18"/>
                <w:szCs w:val="18"/>
                <w:lang w:eastAsia="hr-BA"/>
              </w:rPr>
            </w:pPr>
            <w:r w:rsidRPr="005B54AD">
              <w:rPr>
                <w:rFonts w:eastAsia="Times New Roman" w:cstheme="minorHAnsi"/>
                <w:b/>
                <w:bCs/>
                <w:sz w:val="18"/>
                <w:szCs w:val="18"/>
                <w:lang w:eastAsia="hr-BA"/>
              </w:rPr>
              <w:t>4.145.378</w:t>
            </w:r>
          </w:p>
        </w:tc>
      </w:tr>
    </w:tbl>
    <w:p w:rsidR="005B54AD" w:rsidRPr="00E70BF3" w:rsidRDefault="005B54AD" w:rsidP="005B54AD">
      <w:pPr>
        <w:spacing w:before="100" w:beforeAutospacing="1" w:after="100" w:afterAutospacing="1" w:line="240" w:lineRule="auto"/>
        <w:outlineLvl w:val="2"/>
        <w:rPr>
          <w:rFonts w:eastAsia="Times New Roman" w:cstheme="minorHAnsi"/>
          <w:b/>
          <w:bCs/>
          <w:lang w:eastAsia="hr-BA"/>
        </w:rPr>
      </w:pPr>
      <w:r>
        <w:rPr>
          <w:rFonts w:eastAsia="Times New Roman" w:cstheme="minorHAnsi"/>
          <w:b/>
          <w:bCs/>
          <w:lang w:eastAsia="hr-BA"/>
        </w:rPr>
        <w:t xml:space="preserve">8.3. </w:t>
      </w:r>
      <w:r w:rsidRPr="00E70BF3">
        <w:rPr>
          <w:rFonts w:eastAsia="Times New Roman" w:cstheme="minorHAnsi"/>
          <w:b/>
          <w:bCs/>
          <w:lang w:eastAsia="hr-BA"/>
        </w:rPr>
        <w:t>Projekcija novčanog toka (Cash Flow)</w:t>
      </w:r>
    </w:p>
    <w:p w:rsidR="005B54AD" w:rsidRPr="00E70BF3" w:rsidRDefault="005B54AD" w:rsidP="005B54AD">
      <w:pPr>
        <w:spacing w:before="100" w:beforeAutospacing="1" w:after="100" w:afterAutospacing="1" w:line="240" w:lineRule="auto"/>
        <w:rPr>
          <w:rFonts w:eastAsia="Times New Roman" w:cstheme="minorHAnsi"/>
          <w:lang w:eastAsia="hr-BA"/>
        </w:rPr>
      </w:pPr>
      <w:r w:rsidRPr="00E70BF3">
        <w:rPr>
          <w:rFonts w:eastAsia="Times New Roman" w:cstheme="minorHAnsi"/>
          <w:lang w:eastAsia="hr-BA"/>
        </w:rPr>
        <w:t xml:space="preserve">Projekcija novčanog toka za razdoblje 2025-2030 daje jasnu sliku o tome kako će </w:t>
      </w:r>
      <w:r w:rsidR="00134D2C">
        <w:rPr>
          <w:rFonts w:eastAsia="Times New Roman" w:cstheme="minorHAnsi"/>
          <w:lang w:eastAsia="hr-BA"/>
        </w:rPr>
        <w:t>Sarajevska pivara d.d. Sarajevo</w:t>
      </w:r>
      <w:r w:rsidRPr="00E70BF3">
        <w:rPr>
          <w:rFonts w:eastAsia="Times New Roman" w:cstheme="minorHAnsi"/>
          <w:lang w:eastAsia="hr-BA"/>
        </w:rPr>
        <w:t xml:space="preserve"> generisati i koristiti sredstva. Ovdje ćemo se fokusirati na ključne aspekte:</w:t>
      </w:r>
    </w:p>
    <w:p w:rsidR="005B54AD" w:rsidRPr="00E70BF3" w:rsidRDefault="005B54AD" w:rsidP="007A64F4">
      <w:pPr>
        <w:numPr>
          <w:ilvl w:val="0"/>
          <w:numId w:val="21"/>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Operativni novčani tok</w:t>
      </w:r>
      <w:r w:rsidRPr="00E70BF3">
        <w:rPr>
          <w:rFonts w:eastAsia="Times New Roman" w:cstheme="minorHAnsi"/>
          <w:lang w:eastAsia="hr-BA"/>
        </w:rPr>
        <w:t>: Očekivano poboljšanje zbog rasta prihoda, smanjenja troškova i optimizacije operacija.</w:t>
      </w:r>
    </w:p>
    <w:p w:rsidR="005B54AD" w:rsidRPr="00E70BF3" w:rsidRDefault="005B54AD" w:rsidP="007A64F4">
      <w:pPr>
        <w:numPr>
          <w:ilvl w:val="0"/>
          <w:numId w:val="21"/>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Investicijski novčani tok</w:t>
      </w:r>
      <w:r w:rsidRPr="00E70BF3">
        <w:rPr>
          <w:rFonts w:eastAsia="Times New Roman" w:cstheme="minorHAnsi"/>
          <w:lang w:eastAsia="hr-BA"/>
        </w:rPr>
        <w:t>: Očekivane investicije u proširenje kapaciteta i tehnologiju, kao i mogućnost korištenja sredstava iz emisije obveznica.</w:t>
      </w:r>
    </w:p>
    <w:p w:rsidR="005B54AD" w:rsidRPr="00E70BF3" w:rsidRDefault="005B54AD" w:rsidP="007A64F4">
      <w:pPr>
        <w:numPr>
          <w:ilvl w:val="0"/>
          <w:numId w:val="21"/>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Financijski novčani tok</w:t>
      </w:r>
      <w:r w:rsidRPr="00E70BF3">
        <w:rPr>
          <w:rFonts w:eastAsia="Times New Roman" w:cstheme="minorHAnsi"/>
          <w:lang w:eastAsia="hr-BA"/>
        </w:rPr>
        <w:t>: Isplate kamata na obveznice i kreditne obveze, te plan otplate dugova.</w:t>
      </w:r>
    </w:p>
    <w:p w:rsidR="005B54AD" w:rsidRPr="00E70BF3" w:rsidRDefault="005B54AD" w:rsidP="005B54AD">
      <w:pPr>
        <w:spacing w:before="100" w:beforeAutospacing="1" w:after="100" w:afterAutospacing="1" w:line="240" w:lineRule="auto"/>
        <w:rPr>
          <w:rFonts w:eastAsia="Times New Roman" w:cstheme="minorHAnsi"/>
          <w:lang w:eastAsia="hr-BA"/>
        </w:rPr>
      </w:pPr>
      <w:r w:rsidRPr="00E70BF3">
        <w:rPr>
          <w:rFonts w:eastAsia="Times New Roman" w:cstheme="minorHAnsi"/>
          <w:b/>
          <w:bCs/>
          <w:lang w:eastAsia="hr-BA"/>
        </w:rPr>
        <w:t>Projekcija novčanog toka za 2025-2030</w:t>
      </w:r>
      <w:r w:rsidRPr="00E70BF3">
        <w:rPr>
          <w:rFonts w:eastAsia="Times New Roman" w:cstheme="minorHAnsi"/>
          <w:lang w:eastAsia="hr-BA"/>
        </w:rPr>
        <w:t>:</w:t>
      </w:r>
    </w:p>
    <w:tbl>
      <w:tblPr>
        <w:tblW w:w="0" w:type="auto"/>
        <w:tblCellSpacing w:w="15" w:type="dxa"/>
        <w:tblBorders>
          <w:top w:val="double" w:sz="4" w:space="0" w:color="auto"/>
          <w:left w:val="double" w:sz="4" w:space="0" w:color="auto"/>
          <w:bottom w:val="double" w:sz="4" w:space="0" w:color="auto"/>
          <w:right w:val="double" w:sz="4" w:space="0" w:color="auto"/>
        </w:tblBorders>
        <w:tblCellMar>
          <w:top w:w="15" w:type="dxa"/>
          <w:left w:w="15" w:type="dxa"/>
          <w:bottom w:w="15" w:type="dxa"/>
          <w:right w:w="15" w:type="dxa"/>
        </w:tblCellMar>
        <w:tblLook w:val="04A0" w:firstRow="1" w:lastRow="0" w:firstColumn="1" w:lastColumn="0" w:noHBand="0" w:noVBand="1"/>
      </w:tblPr>
      <w:tblGrid>
        <w:gridCol w:w="703"/>
        <w:gridCol w:w="1553"/>
        <w:gridCol w:w="1682"/>
        <w:gridCol w:w="1681"/>
        <w:gridCol w:w="1549"/>
        <w:gridCol w:w="1828"/>
      </w:tblGrid>
      <w:tr w:rsidR="005B54AD" w:rsidRPr="00E70BF3" w:rsidTr="005B54AD">
        <w:trPr>
          <w:tblHeader/>
          <w:tblCellSpacing w:w="15" w:type="dxa"/>
        </w:trPr>
        <w:tc>
          <w:tcPr>
            <w:tcW w:w="0" w:type="auto"/>
            <w:vAlign w:val="center"/>
            <w:hideMark/>
          </w:tcPr>
          <w:p w:rsidR="005B54AD" w:rsidRPr="005B54AD" w:rsidRDefault="005B54AD" w:rsidP="00037DE7">
            <w:pPr>
              <w:spacing w:after="0" w:line="240" w:lineRule="auto"/>
              <w:jc w:val="center"/>
              <w:rPr>
                <w:rFonts w:eastAsia="Times New Roman" w:cstheme="minorHAnsi"/>
                <w:b/>
                <w:bCs/>
                <w:sz w:val="20"/>
                <w:szCs w:val="20"/>
                <w:lang w:eastAsia="hr-BA"/>
              </w:rPr>
            </w:pPr>
            <w:r w:rsidRPr="005B54AD">
              <w:rPr>
                <w:rFonts w:eastAsia="Times New Roman" w:cstheme="minorHAnsi"/>
                <w:b/>
                <w:bCs/>
                <w:sz w:val="20"/>
                <w:szCs w:val="20"/>
                <w:lang w:eastAsia="hr-BA"/>
              </w:rPr>
              <w:t>Godina</w:t>
            </w:r>
          </w:p>
        </w:tc>
        <w:tc>
          <w:tcPr>
            <w:tcW w:w="1540" w:type="dxa"/>
            <w:vAlign w:val="center"/>
            <w:hideMark/>
          </w:tcPr>
          <w:p w:rsidR="005B54AD" w:rsidRPr="005B54AD" w:rsidRDefault="005B54AD" w:rsidP="00037DE7">
            <w:pPr>
              <w:spacing w:after="0" w:line="240" w:lineRule="auto"/>
              <w:jc w:val="center"/>
              <w:rPr>
                <w:rFonts w:eastAsia="Times New Roman" w:cstheme="minorHAnsi"/>
                <w:b/>
                <w:bCs/>
                <w:sz w:val="20"/>
                <w:szCs w:val="20"/>
                <w:lang w:eastAsia="hr-BA"/>
              </w:rPr>
            </w:pPr>
            <w:r w:rsidRPr="005B54AD">
              <w:rPr>
                <w:rFonts w:eastAsia="Times New Roman" w:cstheme="minorHAnsi"/>
                <w:b/>
                <w:bCs/>
                <w:sz w:val="20"/>
                <w:szCs w:val="20"/>
                <w:lang w:eastAsia="hr-BA"/>
              </w:rPr>
              <w:t>Operativni novčani tok</w:t>
            </w:r>
          </w:p>
        </w:tc>
        <w:tc>
          <w:tcPr>
            <w:tcW w:w="1671" w:type="dxa"/>
            <w:vAlign w:val="center"/>
            <w:hideMark/>
          </w:tcPr>
          <w:p w:rsidR="005B54AD" w:rsidRPr="005B54AD" w:rsidRDefault="005B54AD" w:rsidP="00037DE7">
            <w:pPr>
              <w:spacing w:after="0" w:line="240" w:lineRule="auto"/>
              <w:jc w:val="center"/>
              <w:rPr>
                <w:rFonts w:eastAsia="Times New Roman" w:cstheme="minorHAnsi"/>
                <w:b/>
                <w:bCs/>
                <w:sz w:val="20"/>
                <w:szCs w:val="20"/>
                <w:lang w:eastAsia="hr-BA"/>
              </w:rPr>
            </w:pPr>
            <w:r w:rsidRPr="005B54AD">
              <w:rPr>
                <w:rFonts w:eastAsia="Times New Roman" w:cstheme="minorHAnsi"/>
                <w:b/>
                <w:bCs/>
                <w:sz w:val="20"/>
                <w:szCs w:val="20"/>
                <w:lang w:eastAsia="hr-BA"/>
              </w:rPr>
              <w:t>Investicijski novčani tok</w:t>
            </w:r>
          </w:p>
        </w:tc>
        <w:tc>
          <w:tcPr>
            <w:tcW w:w="1671" w:type="dxa"/>
            <w:vAlign w:val="center"/>
            <w:hideMark/>
          </w:tcPr>
          <w:p w:rsidR="005B54AD" w:rsidRPr="005B54AD" w:rsidRDefault="005B54AD" w:rsidP="00037DE7">
            <w:pPr>
              <w:spacing w:after="0" w:line="240" w:lineRule="auto"/>
              <w:jc w:val="center"/>
              <w:rPr>
                <w:rFonts w:eastAsia="Times New Roman" w:cstheme="minorHAnsi"/>
                <w:b/>
                <w:bCs/>
                <w:sz w:val="20"/>
                <w:szCs w:val="20"/>
                <w:lang w:eastAsia="hr-BA"/>
              </w:rPr>
            </w:pPr>
            <w:r w:rsidRPr="005B54AD">
              <w:rPr>
                <w:rFonts w:eastAsia="Times New Roman" w:cstheme="minorHAnsi"/>
                <w:b/>
                <w:bCs/>
                <w:sz w:val="20"/>
                <w:szCs w:val="20"/>
                <w:lang w:eastAsia="hr-BA"/>
              </w:rPr>
              <w:t>Financijski novčani tok</w:t>
            </w:r>
          </w:p>
        </w:tc>
        <w:tc>
          <w:tcPr>
            <w:tcW w:w="1530" w:type="dxa"/>
            <w:vAlign w:val="center"/>
            <w:hideMark/>
          </w:tcPr>
          <w:p w:rsidR="005B54AD" w:rsidRPr="005B54AD" w:rsidRDefault="005B54AD" w:rsidP="00037DE7">
            <w:pPr>
              <w:spacing w:after="0" w:line="240" w:lineRule="auto"/>
              <w:jc w:val="center"/>
              <w:rPr>
                <w:rFonts w:eastAsia="Times New Roman" w:cstheme="minorHAnsi"/>
                <w:b/>
                <w:bCs/>
                <w:sz w:val="20"/>
                <w:szCs w:val="20"/>
                <w:lang w:eastAsia="hr-BA"/>
              </w:rPr>
            </w:pPr>
            <w:r w:rsidRPr="005B54AD">
              <w:rPr>
                <w:rFonts w:eastAsia="Times New Roman" w:cstheme="minorHAnsi"/>
                <w:b/>
                <w:bCs/>
                <w:sz w:val="20"/>
                <w:szCs w:val="20"/>
                <w:lang w:eastAsia="hr-BA"/>
              </w:rPr>
              <w:t>Neto promjena novčanog toka</w:t>
            </w:r>
          </w:p>
        </w:tc>
        <w:tc>
          <w:tcPr>
            <w:tcW w:w="1806" w:type="dxa"/>
          </w:tcPr>
          <w:p w:rsidR="005B54AD" w:rsidRPr="005B54AD" w:rsidRDefault="005B54AD" w:rsidP="00037DE7">
            <w:pPr>
              <w:spacing w:after="0" w:line="240" w:lineRule="auto"/>
              <w:jc w:val="center"/>
              <w:rPr>
                <w:rFonts w:eastAsia="Times New Roman" w:cstheme="minorHAnsi"/>
                <w:b/>
                <w:bCs/>
                <w:sz w:val="20"/>
                <w:szCs w:val="20"/>
                <w:lang w:eastAsia="hr-BA"/>
              </w:rPr>
            </w:pPr>
            <w:r w:rsidRPr="005B54AD">
              <w:rPr>
                <w:rFonts w:eastAsia="Times New Roman" w:cstheme="minorHAnsi"/>
                <w:b/>
                <w:bCs/>
                <w:sz w:val="20"/>
                <w:szCs w:val="20"/>
                <w:lang w:eastAsia="hr-BA"/>
              </w:rPr>
              <w:t>Novac (kraj razdoblja)</w:t>
            </w:r>
          </w:p>
        </w:tc>
      </w:tr>
      <w:tr w:rsidR="005B54AD" w:rsidRPr="00E70BF3" w:rsidTr="005B54AD">
        <w:trPr>
          <w:tblCellSpacing w:w="15" w:type="dxa"/>
        </w:trPr>
        <w:tc>
          <w:tcPr>
            <w:tcW w:w="0" w:type="auto"/>
            <w:vAlign w:val="center"/>
            <w:hideMark/>
          </w:tcPr>
          <w:p w:rsidR="005B54AD" w:rsidRPr="005B54AD" w:rsidRDefault="005B54AD" w:rsidP="00037DE7">
            <w:pPr>
              <w:spacing w:after="0" w:line="240" w:lineRule="auto"/>
              <w:rPr>
                <w:rFonts w:eastAsia="Times New Roman" w:cstheme="minorHAnsi"/>
                <w:sz w:val="20"/>
                <w:szCs w:val="20"/>
                <w:lang w:eastAsia="hr-BA"/>
              </w:rPr>
            </w:pPr>
            <w:r w:rsidRPr="005B54AD">
              <w:rPr>
                <w:rFonts w:eastAsia="Times New Roman" w:cstheme="minorHAnsi"/>
                <w:b/>
                <w:bCs/>
                <w:sz w:val="20"/>
                <w:szCs w:val="20"/>
                <w:lang w:eastAsia="hr-BA"/>
              </w:rPr>
              <w:t>2025</w:t>
            </w:r>
          </w:p>
        </w:tc>
        <w:tc>
          <w:tcPr>
            <w:tcW w:w="1540" w:type="dxa"/>
            <w:vAlign w:val="center"/>
            <w:hideMark/>
          </w:tcPr>
          <w:p w:rsidR="005B54AD" w:rsidRPr="005B54AD" w:rsidRDefault="005B54AD" w:rsidP="00037DE7">
            <w:pPr>
              <w:spacing w:after="0" w:line="240" w:lineRule="auto"/>
              <w:jc w:val="right"/>
              <w:rPr>
                <w:rFonts w:eastAsia="Times New Roman" w:cstheme="minorHAnsi"/>
                <w:color w:val="FF0000"/>
                <w:sz w:val="20"/>
                <w:szCs w:val="20"/>
                <w:lang w:eastAsia="hr-BA"/>
              </w:rPr>
            </w:pPr>
            <w:r w:rsidRPr="005B54AD">
              <w:rPr>
                <w:rFonts w:eastAsia="Times New Roman" w:cstheme="minorHAnsi"/>
                <w:color w:val="FF0000"/>
                <w:sz w:val="20"/>
                <w:szCs w:val="20"/>
                <w:lang w:eastAsia="hr-BA"/>
              </w:rPr>
              <w:t>-22.945.843 KM</w:t>
            </w:r>
          </w:p>
        </w:tc>
        <w:tc>
          <w:tcPr>
            <w:tcW w:w="1671" w:type="dxa"/>
            <w:vAlign w:val="center"/>
            <w:hideMark/>
          </w:tcPr>
          <w:p w:rsidR="005B54AD" w:rsidRPr="005B54AD" w:rsidRDefault="005B54AD" w:rsidP="00037D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14.272.701 KM</w:t>
            </w:r>
          </w:p>
        </w:tc>
        <w:tc>
          <w:tcPr>
            <w:tcW w:w="1671" w:type="dxa"/>
            <w:vAlign w:val="center"/>
            <w:hideMark/>
          </w:tcPr>
          <w:p w:rsidR="005B54AD" w:rsidRPr="005B54AD" w:rsidRDefault="005B54AD" w:rsidP="00037DE7">
            <w:pPr>
              <w:spacing w:after="0" w:line="240" w:lineRule="auto"/>
              <w:jc w:val="right"/>
              <w:rPr>
                <w:rFonts w:eastAsia="Times New Roman" w:cstheme="minorHAnsi"/>
                <w:color w:val="000000" w:themeColor="text1"/>
                <w:sz w:val="20"/>
                <w:szCs w:val="20"/>
                <w:lang w:eastAsia="hr-BA"/>
              </w:rPr>
            </w:pPr>
            <w:r w:rsidRPr="005B54AD">
              <w:rPr>
                <w:rFonts w:eastAsia="Times New Roman" w:cstheme="minorHAnsi"/>
                <w:color w:val="000000" w:themeColor="text1"/>
                <w:sz w:val="20"/>
                <w:szCs w:val="20"/>
                <w:lang w:eastAsia="hr-BA"/>
              </w:rPr>
              <w:t>31.843.768 KM</w:t>
            </w:r>
          </w:p>
        </w:tc>
        <w:tc>
          <w:tcPr>
            <w:tcW w:w="1530" w:type="dxa"/>
            <w:vAlign w:val="center"/>
            <w:hideMark/>
          </w:tcPr>
          <w:p w:rsidR="005B54AD" w:rsidRPr="005B54AD" w:rsidRDefault="005B54AD" w:rsidP="00037DE7">
            <w:pPr>
              <w:spacing w:after="0" w:line="240" w:lineRule="auto"/>
              <w:jc w:val="right"/>
              <w:rPr>
                <w:rFonts w:eastAsia="Times New Roman" w:cstheme="minorHAnsi"/>
                <w:color w:val="000000" w:themeColor="text1"/>
                <w:sz w:val="20"/>
                <w:szCs w:val="20"/>
                <w:lang w:eastAsia="hr-BA"/>
              </w:rPr>
            </w:pPr>
            <w:r w:rsidRPr="005B54AD">
              <w:rPr>
                <w:rFonts w:eastAsia="Times New Roman" w:cstheme="minorHAnsi"/>
                <w:color w:val="000000" w:themeColor="text1"/>
                <w:sz w:val="20"/>
                <w:szCs w:val="20"/>
                <w:lang w:eastAsia="hr-BA"/>
              </w:rPr>
              <w:t>23.170.626 KM</w:t>
            </w:r>
          </w:p>
        </w:tc>
        <w:tc>
          <w:tcPr>
            <w:tcW w:w="1806" w:type="dxa"/>
            <w:vAlign w:val="center"/>
          </w:tcPr>
          <w:p w:rsidR="005B54AD" w:rsidRPr="005B54AD" w:rsidRDefault="005B54AD" w:rsidP="00037DE7">
            <w:pPr>
              <w:spacing w:after="0" w:line="240" w:lineRule="auto"/>
              <w:jc w:val="right"/>
              <w:rPr>
                <w:rFonts w:eastAsia="Times New Roman" w:cstheme="minorHAnsi"/>
                <w:color w:val="000000" w:themeColor="text1"/>
                <w:sz w:val="20"/>
                <w:szCs w:val="20"/>
                <w:lang w:eastAsia="hr-BA"/>
              </w:rPr>
            </w:pPr>
            <w:r w:rsidRPr="005B54AD">
              <w:rPr>
                <w:rFonts w:eastAsia="Times New Roman" w:cstheme="minorHAnsi"/>
                <w:color w:val="000000" w:themeColor="text1"/>
                <w:sz w:val="20"/>
                <w:szCs w:val="20"/>
                <w:lang w:eastAsia="hr-BA"/>
              </w:rPr>
              <w:t>23.411.959 KM</w:t>
            </w:r>
          </w:p>
        </w:tc>
      </w:tr>
      <w:tr w:rsidR="005B54AD" w:rsidRPr="00E70BF3" w:rsidTr="005B54AD">
        <w:trPr>
          <w:tblCellSpacing w:w="15" w:type="dxa"/>
        </w:trPr>
        <w:tc>
          <w:tcPr>
            <w:tcW w:w="0" w:type="auto"/>
            <w:vAlign w:val="center"/>
            <w:hideMark/>
          </w:tcPr>
          <w:p w:rsidR="005B54AD" w:rsidRPr="005B54AD" w:rsidRDefault="005B54AD" w:rsidP="00037DE7">
            <w:pPr>
              <w:spacing w:after="0" w:line="240" w:lineRule="auto"/>
              <w:rPr>
                <w:rFonts w:eastAsia="Times New Roman" w:cstheme="minorHAnsi"/>
                <w:sz w:val="20"/>
                <w:szCs w:val="20"/>
                <w:lang w:eastAsia="hr-BA"/>
              </w:rPr>
            </w:pPr>
            <w:r w:rsidRPr="005B54AD">
              <w:rPr>
                <w:rFonts w:eastAsia="Times New Roman" w:cstheme="minorHAnsi"/>
                <w:b/>
                <w:bCs/>
                <w:sz w:val="20"/>
                <w:szCs w:val="20"/>
                <w:lang w:eastAsia="hr-BA"/>
              </w:rPr>
              <w:t>2026</w:t>
            </w:r>
          </w:p>
        </w:tc>
        <w:tc>
          <w:tcPr>
            <w:tcW w:w="1540" w:type="dxa"/>
            <w:vAlign w:val="center"/>
            <w:hideMark/>
          </w:tcPr>
          <w:p w:rsidR="005B54AD" w:rsidRPr="005B54AD" w:rsidRDefault="005B54AD" w:rsidP="00037DE7">
            <w:pPr>
              <w:spacing w:after="0" w:line="240" w:lineRule="auto"/>
              <w:jc w:val="right"/>
              <w:rPr>
                <w:rFonts w:eastAsia="Times New Roman" w:cstheme="minorHAnsi"/>
                <w:color w:val="000000" w:themeColor="text1"/>
                <w:sz w:val="20"/>
                <w:szCs w:val="20"/>
                <w:lang w:eastAsia="hr-BA"/>
              </w:rPr>
            </w:pPr>
            <w:r w:rsidRPr="005B54AD">
              <w:rPr>
                <w:rFonts w:eastAsia="Times New Roman" w:cstheme="minorHAnsi"/>
                <w:color w:val="000000" w:themeColor="text1"/>
                <w:sz w:val="20"/>
                <w:szCs w:val="20"/>
                <w:lang w:eastAsia="hr-BA"/>
              </w:rPr>
              <w:t>3.282.712 KM</w:t>
            </w:r>
          </w:p>
        </w:tc>
        <w:tc>
          <w:tcPr>
            <w:tcW w:w="1671" w:type="dxa"/>
            <w:vAlign w:val="center"/>
            <w:hideMark/>
          </w:tcPr>
          <w:p w:rsidR="005B54AD" w:rsidRPr="005B54AD" w:rsidRDefault="005B54AD" w:rsidP="00037D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31.548 KM</w:t>
            </w:r>
          </w:p>
        </w:tc>
        <w:tc>
          <w:tcPr>
            <w:tcW w:w="1671" w:type="dxa"/>
            <w:vAlign w:val="center"/>
            <w:hideMark/>
          </w:tcPr>
          <w:p w:rsidR="005B54AD" w:rsidRPr="005B54AD" w:rsidRDefault="005B54AD" w:rsidP="00037DE7">
            <w:pPr>
              <w:spacing w:after="0" w:line="240" w:lineRule="auto"/>
              <w:jc w:val="right"/>
              <w:rPr>
                <w:rFonts w:eastAsia="Times New Roman" w:cstheme="minorHAnsi"/>
                <w:color w:val="FF0000"/>
                <w:sz w:val="20"/>
                <w:szCs w:val="20"/>
                <w:lang w:eastAsia="hr-BA"/>
              </w:rPr>
            </w:pPr>
            <w:r w:rsidRPr="005B54AD">
              <w:rPr>
                <w:rFonts w:eastAsia="Times New Roman" w:cstheme="minorHAnsi"/>
                <w:color w:val="FF0000"/>
                <w:sz w:val="20"/>
                <w:szCs w:val="20"/>
                <w:lang w:eastAsia="hr-BA"/>
              </w:rPr>
              <w:t>-20.679.125 KM</w:t>
            </w:r>
          </w:p>
        </w:tc>
        <w:tc>
          <w:tcPr>
            <w:tcW w:w="1530" w:type="dxa"/>
            <w:vAlign w:val="center"/>
            <w:hideMark/>
          </w:tcPr>
          <w:p w:rsidR="005B54AD" w:rsidRPr="005B54AD" w:rsidRDefault="005B54AD" w:rsidP="00037DE7">
            <w:pPr>
              <w:spacing w:after="0" w:line="240" w:lineRule="auto"/>
              <w:jc w:val="right"/>
              <w:rPr>
                <w:rFonts w:eastAsia="Times New Roman" w:cstheme="minorHAnsi"/>
                <w:color w:val="FF0000"/>
                <w:sz w:val="20"/>
                <w:szCs w:val="20"/>
                <w:lang w:eastAsia="hr-BA"/>
              </w:rPr>
            </w:pPr>
            <w:r w:rsidRPr="005B54AD">
              <w:rPr>
                <w:rFonts w:eastAsia="Times New Roman" w:cstheme="minorHAnsi"/>
                <w:color w:val="FF0000"/>
                <w:sz w:val="20"/>
                <w:szCs w:val="20"/>
                <w:lang w:eastAsia="hr-BA"/>
              </w:rPr>
              <w:t>-17.364.865 KM</w:t>
            </w:r>
          </w:p>
        </w:tc>
        <w:tc>
          <w:tcPr>
            <w:tcW w:w="1806" w:type="dxa"/>
            <w:vAlign w:val="center"/>
          </w:tcPr>
          <w:p w:rsidR="005B54AD" w:rsidRPr="005B54AD" w:rsidRDefault="005B54AD" w:rsidP="00037DE7">
            <w:pPr>
              <w:spacing w:after="0" w:line="240" w:lineRule="auto"/>
              <w:jc w:val="right"/>
              <w:rPr>
                <w:rFonts w:eastAsia="Times New Roman" w:cstheme="minorHAnsi"/>
                <w:color w:val="000000" w:themeColor="text1"/>
                <w:sz w:val="20"/>
                <w:szCs w:val="20"/>
                <w:lang w:eastAsia="hr-BA"/>
              </w:rPr>
            </w:pPr>
            <w:r w:rsidRPr="005B54AD">
              <w:rPr>
                <w:rFonts w:eastAsia="Times New Roman" w:cstheme="minorHAnsi"/>
                <w:color w:val="000000" w:themeColor="text1"/>
                <w:sz w:val="20"/>
                <w:szCs w:val="20"/>
                <w:lang w:eastAsia="hr-BA"/>
              </w:rPr>
              <w:t>6.047.094 KM</w:t>
            </w:r>
          </w:p>
        </w:tc>
      </w:tr>
      <w:tr w:rsidR="005B54AD" w:rsidRPr="00E70BF3" w:rsidTr="005B54AD">
        <w:trPr>
          <w:tblCellSpacing w:w="15" w:type="dxa"/>
        </w:trPr>
        <w:tc>
          <w:tcPr>
            <w:tcW w:w="0" w:type="auto"/>
            <w:vAlign w:val="center"/>
            <w:hideMark/>
          </w:tcPr>
          <w:p w:rsidR="005B54AD" w:rsidRPr="005B54AD" w:rsidRDefault="005B54AD" w:rsidP="00037DE7">
            <w:pPr>
              <w:spacing w:after="0" w:line="240" w:lineRule="auto"/>
              <w:rPr>
                <w:rFonts w:eastAsia="Times New Roman" w:cstheme="minorHAnsi"/>
                <w:sz w:val="20"/>
                <w:szCs w:val="20"/>
                <w:lang w:eastAsia="hr-BA"/>
              </w:rPr>
            </w:pPr>
            <w:r w:rsidRPr="005B54AD">
              <w:rPr>
                <w:rFonts w:eastAsia="Times New Roman" w:cstheme="minorHAnsi"/>
                <w:b/>
                <w:bCs/>
                <w:sz w:val="20"/>
                <w:szCs w:val="20"/>
                <w:lang w:eastAsia="hr-BA"/>
              </w:rPr>
              <w:t>2027</w:t>
            </w:r>
          </w:p>
        </w:tc>
        <w:tc>
          <w:tcPr>
            <w:tcW w:w="1540" w:type="dxa"/>
            <w:vAlign w:val="center"/>
            <w:hideMark/>
          </w:tcPr>
          <w:p w:rsidR="005B54AD" w:rsidRPr="005B54AD" w:rsidRDefault="005B54AD" w:rsidP="00037DE7">
            <w:pPr>
              <w:spacing w:after="0" w:line="240" w:lineRule="auto"/>
              <w:jc w:val="right"/>
              <w:rPr>
                <w:rFonts w:eastAsia="Times New Roman" w:cstheme="minorHAnsi"/>
                <w:color w:val="000000" w:themeColor="text1"/>
                <w:sz w:val="20"/>
                <w:szCs w:val="20"/>
                <w:lang w:eastAsia="hr-BA"/>
              </w:rPr>
            </w:pPr>
            <w:r w:rsidRPr="005B54AD">
              <w:rPr>
                <w:rFonts w:eastAsia="Times New Roman" w:cstheme="minorHAnsi"/>
                <w:color w:val="000000" w:themeColor="text1"/>
                <w:sz w:val="20"/>
                <w:szCs w:val="20"/>
                <w:lang w:eastAsia="hr-BA"/>
              </w:rPr>
              <w:t>5.478.745 KM</w:t>
            </w:r>
          </w:p>
        </w:tc>
        <w:tc>
          <w:tcPr>
            <w:tcW w:w="1671" w:type="dxa"/>
            <w:vAlign w:val="center"/>
            <w:hideMark/>
          </w:tcPr>
          <w:p w:rsidR="005B54AD" w:rsidRPr="005B54AD" w:rsidRDefault="005B54AD" w:rsidP="00037DE7">
            <w:pPr>
              <w:spacing w:after="0" w:line="240" w:lineRule="auto"/>
              <w:jc w:val="right"/>
              <w:rPr>
                <w:rFonts w:eastAsia="Times New Roman" w:cstheme="minorHAnsi"/>
                <w:color w:val="FF0000"/>
                <w:sz w:val="20"/>
                <w:szCs w:val="20"/>
                <w:lang w:eastAsia="hr-BA"/>
              </w:rPr>
            </w:pPr>
            <w:r w:rsidRPr="005B54AD">
              <w:rPr>
                <w:rFonts w:eastAsia="Times New Roman" w:cstheme="minorHAnsi"/>
                <w:color w:val="FF0000"/>
                <w:sz w:val="20"/>
                <w:szCs w:val="20"/>
                <w:lang w:eastAsia="hr-BA"/>
              </w:rPr>
              <w:t>-4.040.000 KM</w:t>
            </w:r>
          </w:p>
        </w:tc>
        <w:tc>
          <w:tcPr>
            <w:tcW w:w="1671" w:type="dxa"/>
            <w:vAlign w:val="center"/>
            <w:hideMark/>
          </w:tcPr>
          <w:p w:rsidR="005B54AD" w:rsidRPr="005B54AD" w:rsidRDefault="005B54AD" w:rsidP="00037DE7">
            <w:pPr>
              <w:spacing w:after="0" w:line="240" w:lineRule="auto"/>
              <w:jc w:val="right"/>
              <w:rPr>
                <w:rFonts w:eastAsia="Times New Roman" w:cstheme="minorHAnsi"/>
                <w:color w:val="FF0000"/>
                <w:sz w:val="20"/>
                <w:szCs w:val="20"/>
                <w:lang w:eastAsia="hr-BA"/>
              </w:rPr>
            </w:pPr>
            <w:r w:rsidRPr="005B54AD">
              <w:rPr>
                <w:rFonts w:eastAsia="Times New Roman" w:cstheme="minorHAnsi"/>
                <w:color w:val="FF0000"/>
                <w:sz w:val="20"/>
                <w:szCs w:val="20"/>
                <w:lang w:eastAsia="hr-BA"/>
              </w:rPr>
              <w:t>-389.709 KM</w:t>
            </w:r>
          </w:p>
        </w:tc>
        <w:tc>
          <w:tcPr>
            <w:tcW w:w="1530" w:type="dxa"/>
            <w:vAlign w:val="center"/>
            <w:hideMark/>
          </w:tcPr>
          <w:p w:rsidR="005B54AD" w:rsidRPr="005B54AD" w:rsidRDefault="005B54AD" w:rsidP="00037DE7">
            <w:pPr>
              <w:spacing w:after="0" w:line="240" w:lineRule="auto"/>
              <w:jc w:val="right"/>
              <w:rPr>
                <w:rFonts w:eastAsia="Times New Roman" w:cstheme="minorHAnsi"/>
                <w:color w:val="000000" w:themeColor="text1"/>
                <w:sz w:val="20"/>
                <w:szCs w:val="20"/>
                <w:lang w:eastAsia="hr-BA"/>
              </w:rPr>
            </w:pPr>
            <w:r w:rsidRPr="005B54AD">
              <w:rPr>
                <w:rFonts w:eastAsia="Times New Roman" w:cstheme="minorHAnsi"/>
                <w:color w:val="000000" w:themeColor="text1"/>
                <w:sz w:val="20"/>
                <w:szCs w:val="20"/>
                <w:lang w:eastAsia="hr-BA"/>
              </w:rPr>
              <w:t>1.049.036 KM</w:t>
            </w:r>
          </w:p>
        </w:tc>
        <w:tc>
          <w:tcPr>
            <w:tcW w:w="1806" w:type="dxa"/>
            <w:vAlign w:val="center"/>
          </w:tcPr>
          <w:p w:rsidR="005B54AD" w:rsidRPr="005B54AD" w:rsidRDefault="005B54AD" w:rsidP="00037DE7">
            <w:pPr>
              <w:spacing w:after="0" w:line="240" w:lineRule="auto"/>
              <w:jc w:val="right"/>
              <w:rPr>
                <w:rFonts w:eastAsia="Times New Roman" w:cstheme="minorHAnsi"/>
                <w:color w:val="000000" w:themeColor="text1"/>
                <w:sz w:val="20"/>
                <w:szCs w:val="20"/>
                <w:lang w:eastAsia="hr-BA"/>
              </w:rPr>
            </w:pPr>
            <w:r w:rsidRPr="005B54AD">
              <w:rPr>
                <w:rFonts w:eastAsia="Times New Roman" w:cstheme="minorHAnsi"/>
                <w:color w:val="000000" w:themeColor="text1"/>
                <w:sz w:val="20"/>
                <w:szCs w:val="20"/>
                <w:lang w:eastAsia="hr-BA"/>
              </w:rPr>
              <w:t>7.096.130 KM</w:t>
            </w:r>
          </w:p>
        </w:tc>
      </w:tr>
      <w:tr w:rsidR="005B54AD" w:rsidRPr="00E70BF3" w:rsidTr="005B54AD">
        <w:trPr>
          <w:tblCellSpacing w:w="15" w:type="dxa"/>
        </w:trPr>
        <w:tc>
          <w:tcPr>
            <w:tcW w:w="0" w:type="auto"/>
            <w:vAlign w:val="center"/>
            <w:hideMark/>
          </w:tcPr>
          <w:p w:rsidR="005B54AD" w:rsidRPr="005B54AD" w:rsidRDefault="005B54AD" w:rsidP="00037DE7">
            <w:pPr>
              <w:spacing w:after="0" w:line="240" w:lineRule="auto"/>
              <w:rPr>
                <w:rFonts w:eastAsia="Times New Roman" w:cstheme="minorHAnsi"/>
                <w:sz w:val="20"/>
                <w:szCs w:val="20"/>
                <w:lang w:eastAsia="hr-BA"/>
              </w:rPr>
            </w:pPr>
            <w:r w:rsidRPr="005B54AD">
              <w:rPr>
                <w:rFonts w:eastAsia="Times New Roman" w:cstheme="minorHAnsi"/>
                <w:b/>
                <w:bCs/>
                <w:sz w:val="20"/>
                <w:szCs w:val="20"/>
                <w:lang w:eastAsia="hr-BA"/>
              </w:rPr>
              <w:t>2028</w:t>
            </w:r>
          </w:p>
        </w:tc>
        <w:tc>
          <w:tcPr>
            <w:tcW w:w="1540" w:type="dxa"/>
            <w:vAlign w:val="center"/>
            <w:hideMark/>
          </w:tcPr>
          <w:p w:rsidR="005B54AD" w:rsidRPr="005B54AD" w:rsidRDefault="005B54AD" w:rsidP="00037DE7">
            <w:pPr>
              <w:spacing w:after="0" w:line="240" w:lineRule="auto"/>
              <w:jc w:val="right"/>
              <w:rPr>
                <w:rFonts w:eastAsia="Times New Roman" w:cstheme="minorHAnsi"/>
                <w:color w:val="000000" w:themeColor="text1"/>
                <w:sz w:val="20"/>
                <w:szCs w:val="20"/>
                <w:lang w:eastAsia="hr-BA"/>
              </w:rPr>
            </w:pPr>
            <w:r w:rsidRPr="005B54AD">
              <w:rPr>
                <w:rFonts w:eastAsia="Times New Roman" w:cstheme="minorHAnsi"/>
                <w:color w:val="000000" w:themeColor="text1"/>
                <w:sz w:val="20"/>
                <w:szCs w:val="20"/>
                <w:lang w:eastAsia="hr-BA"/>
              </w:rPr>
              <w:t>6.023.794 KM</w:t>
            </w:r>
          </w:p>
        </w:tc>
        <w:tc>
          <w:tcPr>
            <w:tcW w:w="1671" w:type="dxa"/>
            <w:vAlign w:val="center"/>
            <w:hideMark/>
          </w:tcPr>
          <w:p w:rsidR="005B54AD" w:rsidRPr="005B54AD" w:rsidRDefault="005B54AD" w:rsidP="00037DE7">
            <w:pPr>
              <w:spacing w:after="0" w:line="240" w:lineRule="auto"/>
              <w:jc w:val="right"/>
              <w:rPr>
                <w:rFonts w:eastAsia="Times New Roman" w:cstheme="minorHAnsi"/>
                <w:color w:val="FF0000"/>
                <w:sz w:val="20"/>
                <w:szCs w:val="20"/>
                <w:lang w:eastAsia="hr-BA"/>
              </w:rPr>
            </w:pPr>
            <w:r w:rsidRPr="005B54AD">
              <w:rPr>
                <w:rFonts w:eastAsia="Times New Roman" w:cstheme="minorHAnsi"/>
                <w:color w:val="FF0000"/>
                <w:sz w:val="20"/>
                <w:szCs w:val="20"/>
                <w:lang w:eastAsia="hr-BA"/>
              </w:rPr>
              <w:t>-6.460.000 KM</w:t>
            </w:r>
          </w:p>
        </w:tc>
        <w:tc>
          <w:tcPr>
            <w:tcW w:w="1671" w:type="dxa"/>
            <w:vAlign w:val="center"/>
            <w:hideMark/>
          </w:tcPr>
          <w:p w:rsidR="005B54AD" w:rsidRPr="005B54AD" w:rsidRDefault="005B54AD" w:rsidP="00037DE7">
            <w:pPr>
              <w:spacing w:after="0" w:line="240" w:lineRule="auto"/>
              <w:jc w:val="right"/>
              <w:rPr>
                <w:rFonts w:eastAsia="Times New Roman" w:cstheme="minorHAnsi"/>
                <w:color w:val="FF0000"/>
                <w:sz w:val="20"/>
                <w:szCs w:val="20"/>
                <w:lang w:eastAsia="hr-BA"/>
              </w:rPr>
            </w:pPr>
            <w:r w:rsidRPr="005B54AD">
              <w:rPr>
                <w:rFonts w:eastAsia="Times New Roman" w:cstheme="minorHAnsi"/>
                <w:color w:val="FF0000"/>
                <w:sz w:val="20"/>
                <w:szCs w:val="20"/>
                <w:lang w:eastAsia="hr-BA"/>
              </w:rPr>
              <w:t>-257.344 KM</w:t>
            </w:r>
          </w:p>
        </w:tc>
        <w:tc>
          <w:tcPr>
            <w:tcW w:w="1530" w:type="dxa"/>
            <w:vAlign w:val="center"/>
            <w:hideMark/>
          </w:tcPr>
          <w:p w:rsidR="005B54AD" w:rsidRPr="005B54AD" w:rsidRDefault="005B54AD" w:rsidP="00037DE7">
            <w:pPr>
              <w:spacing w:after="0" w:line="240" w:lineRule="auto"/>
              <w:jc w:val="right"/>
              <w:rPr>
                <w:rFonts w:eastAsia="Times New Roman" w:cstheme="minorHAnsi"/>
                <w:color w:val="FF0000"/>
                <w:sz w:val="20"/>
                <w:szCs w:val="20"/>
                <w:lang w:eastAsia="hr-BA"/>
              </w:rPr>
            </w:pPr>
            <w:r w:rsidRPr="005B54AD">
              <w:rPr>
                <w:rFonts w:eastAsia="Times New Roman" w:cstheme="minorHAnsi"/>
                <w:color w:val="FF0000"/>
                <w:sz w:val="20"/>
                <w:szCs w:val="20"/>
                <w:lang w:eastAsia="hr-BA"/>
              </w:rPr>
              <w:t>-693.549 KM</w:t>
            </w:r>
          </w:p>
        </w:tc>
        <w:tc>
          <w:tcPr>
            <w:tcW w:w="1806" w:type="dxa"/>
            <w:vAlign w:val="center"/>
          </w:tcPr>
          <w:p w:rsidR="005B54AD" w:rsidRPr="005B54AD" w:rsidRDefault="005B54AD" w:rsidP="00037DE7">
            <w:pPr>
              <w:spacing w:after="0" w:line="240" w:lineRule="auto"/>
              <w:jc w:val="right"/>
              <w:rPr>
                <w:rFonts w:eastAsia="Times New Roman" w:cstheme="minorHAnsi"/>
                <w:color w:val="000000" w:themeColor="text1"/>
                <w:sz w:val="20"/>
                <w:szCs w:val="20"/>
                <w:lang w:eastAsia="hr-BA"/>
              </w:rPr>
            </w:pPr>
            <w:r w:rsidRPr="005B54AD">
              <w:rPr>
                <w:rFonts w:eastAsia="Times New Roman" w:cstheme="minorHAnsi"/>
                <w:color w:val="000000" w:themeColor="text1"/>
                <w:sz w:val="20"/>
                <w:szCs w:val="20"/>
                <w:lang w:eastAsia="hr-BA"/>
              </w:rPr>
              <w:t>6.402.580 KM</w:t>
            </w:r>
          </w:p>
        </w:tc>
      </w:tr>
      <w:tr w:rsidR="005B54AD" w:rsidRPr="00E70BF3" w:rsidTr="005B54AD">
        <w:trPr>
          <w:tblCellSpacing w:w="15" w:type="dxa"/>
        </w:trPr>
        <w:tc>
          <w:tcPr>
            <w:tcW w:w="0" w:type="auto"/>
            <w:vAlign w:val="center"/>
            <w:hideMark/>
          </w:tcPr>
          <w:p w:rsidR="005B54AD" w:rsidRPr="005B54AD" w:rsidRDefault="005B54AD" w:rsidP="00037DE7">
            <w:pPr>
              <w:spacing w:after="0" w:line="240" w:lineRule="auto"/>
              <w:rPr>
                <w:rFonts w:eastAsia="Times New Roman" w:cstheme="minorHAnsi"/>
                <w:sz w:val="20"/>
                <w:szCs w:val="20"/>
                <w:lang w:eastAsia="hr-BA"/>
              </w:rPr>
            </w:pPr>
            <w:r w:rsidRPr="005B54AD">
              <w:rPr>
                <w:rFonts w:eastAsia="Times New Roman" w:cstheme="minorHAnsi"/>
                <w:b/>
                <w:bCs/>
                <w:sz w:val="20"/>
                <w:szCs w:val="20"/>
                <w:lang w:eastAsia="hr-BA"/>
              </w:rPr>
              <w:t>2029</w:t>
            </w:r>
          </w:p>
        </w:tc>
        <w:tc>
          <w:tcPr>
            <w:tcW w:w="1540" w:type="dxa"/>
            <w:vAlign w:val="center"/>
            <w:hideMark/>
          </w:tcPr>
          <w:p w:rsidR="005B54AD" w:rsidRPr="005B54AD" w:rsidRDefault="005B54AD" w:rsidP="00037DE7">
            <w:pPr>
              <w:spacing w:after="0" w:line="240" w:lineRule="auto"/>
              <w:jc w:val="right"/>
              <w:rPr>
                <w:rFonts w:eastAsia="Times New Roman" w:cstheme="minorHAnsi"/>
                <w:color w:val="000000" w:themeColor="text1"/>
                <w:sz w:val="20"/>
                <w:szCs w:val="20"/>
                <w:lang w:eastAsia="hr-BA"/>
              </w:rPr>
            </w:pPr>
            <w:r w:rsidRPr="005B54AD">
              <w:rPr>
                <w:rFonts w:eastAsia="Times New Roman" w:cstheme="minorHAnsi"/>
                <w:color w:val="000000" w:themeColor="text1"/>
                <w:sz w:val="20"/>
                <w:szCs w:val="20"/>
                <w:lang w:eastAsia="hr-BA"/>
              </w:rPr>
              <w:t>6.143.585 KM</w:t>
            </w:r>
          </w:p>
        </w:tc>
        <w:tc>
          <w:tcPr>
            <w:tcW w:w="1671" w:type="dxa"/>
            <w:vAlign w:val="center"/>
            <w:hideMark/>
          </w:tcPr>
          <w:p w:rsidR="005B54AD" w:rsidRPr="005B54AD" w:rsidRDefault="005B54AD" w:rsidP="00037D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74.452 KM</w:t>
            </w:r>
          </w:p>
        </w:tc>
        <w:tc>
          <w:tcPr>
            <w:tcW w:w="1671" w:type="dxa"/>
            <w:vAlign w:val="center"/>
            <w:hideMark/>
          </w:tcPr>
          <w:p w:rsidR="005B54AD" w:rsidRPr="005B54AD" w:rsidRDefault="005B54AD" w:rsidP="00037DE7">
            <w:pPr>
              <w:spacing w:after="0" w:line="240" w:lineRule="auto"/>
              <w:jc w:val="right"/>
              <w:rPr>
                <w:rFonts w:eastAsia="Times New Roman" w:cstheme="minorHAnsi"/>
                <w:color w:val="000000" w:themeColor="text1"/>
                <w:sz w:val="20"/>
                <w:szCs w:val="20"/>
                <w:lang w:eastAsia="hr-BA"/>
              </w:rPr>
            </w:pPr>
            <w:r w:rsidRPr="005B54AD">
              <w:rPr>
                <w:rFonts w:eastAsia="Times New Roman" w:cstheme="minorHAnsi"/>
                <w:color w:val="000000" w:themeColor="text1"/>
                <w:sz w:val="20"/>
                <w:szCs w:val="20"/>
                <w:lang w:eastAsia="hr-BA"/>
              </w:rPr>
              <w:t>0 KM</w:t>
            </w:r>
          </w:p>
        </w:tc>
        <w:tc>
          <w:tcPr>
            <w:tcW w:w="1530" w:type="dxa"/>
            <w:vAlign w:val="center"/>
            <w:hideMark/>
          </w:tcPr>
          <w:p w:rsidR="005B54AD" w:rsidRPr="005B54AD" w:rsidRDefault="005B54AD" w:rsidP="00037DE7">
            <w:pPr>
              <w:spacing w:after="0" w:line="240" w:lineRule="auto"/>
              <w:jc w:val="right"/>
              <w:rPr>
                <w:rFonts w:eastAsia="Times New Roman" w:cstheme="minorHAnsi"/>
                <w:color w:val="000000" w:themeColor="text1"/>
                <w:sz w:val="20"/>
                <w:szCs w:val="20"/>
                <w:lang w:eastAsia="hr-BA"/>
              </w:rPr>
            </w:pPr>
            <w:r w:rsidRPr="005B54AD">
              <w:rPr>
                <w:rFonts w:eastAsia="Times New Roman" w:cstheme="minorHAnsi"/>
                <w:color w:val="000000" w:themeColor="text1"/>
                <w:sz w:val="20"/>
                <w:szCs w:val="20"/>
                <w:lang w:eastAsia="hr-BA"/>
              </w:rPr>
              <w:t>6.218.037 KM</w:t>
            </w:r>
          </w:p>
        </w:tc>
        <w:tc>
          <w:tcPr>
            <w:tcW w:w="1806" w:type="dxa"/>
            <w:vAlign w:val="center"/>
          </w:tcPr>
          <w:p w:rsidR="005B54AD" w:rsidRPr="005B54AD" w:rsidRDefault="005B54AD" w:rsidP="00037DE7">
            <w:pPr>
              <w:spacing w:after="0" w:line="240" w:lineRule="auto"/>
              <w:jc w:val="right"/>
              <w:rPr>
                <w:rFonts w:eastAsia="Times New Roman" w:cstheme="minorHAnsi"/>
                <w:color w:val="000000" w:themeColor="text1"/>
                <w:sz w:val="20"/>
                <w:szCs w:val="20"/>
                <w:lang w:eastAsia="hr-BA"/>
              </w:rPr>
            </w:pPr>
            <w:r w:rsidRPr="005B54AD">
              <w:rPr>
                <w:rFonts w:eastAsia="Times New Roman" w:cstheme="minorHAnsi"/>
                <w:color w:val="000000" w:themeColor="text1"/>
                <w:sz w:val="20"/>
                <w:szCs w:val="20"/>
                <w:lang w:eastAsia="hr-BA"/>
              </w:rPr>
              <w:t>12.620.618 KM</w:t>
            </w:r>
          </w:p>
        </w:tc>
      </w:tr>
      <w:tr w:rsidR="005B54AD" w:rsidRPr="00E70BF3" w:rsidTr="005B54AD">
        <w:trPr>
          <w:tblCellSpacing w:w="15" w:type="dxa"/>
        </w:trPr>
        <w:tc>
          <w:tcPr>
            <w:tcW w:w="0" w:type="auto"/>
            <w:vAlign w:val="center"/>
          </w:tcPr>
          <w:p w:rsidR="005B54AD" w:rsidRPr="005B54AD" w:rsidRDefault="005B54AD" w:rsidP="00037DE7">
            <w:pPr>
              <w:spacing w:after="0" w:line="240" w:lineRule="auto"/>
              <w:rPr>
                <w:rFonts w:eastAsia="Times New Roman" w:cstheme="minorHAnsi"/>
                <w:b/>
                <w:bCs/>
                <w:sz w:val="20"/>
                <w:szCs w:val="20"/>
                <w:lang w:eastAsia="hr-BA"/>
              </w:rPr>
            </w:pPr>
            <w:r w:rsidRPr="005B54AD">
              <w:rPr>
                <w:rFonts w:eastAsia="Times New Roman" w:cstheme="minorHAnsi"/>
                <w:b/>
                <w:bCs/>
                <w:sz w:val="20"/>
                <w:szCs w:val="20"/>
                <w:lang w:eastAsia="hr-BA"/>
              </w:rPr>
              <w:t>2030</w:t>
            </w:r>
          </w:p>
        </w:tc>
        <w:tc>
          <w:tcPr>
            <w:tcW w:w="1540" w:type="dxa"/>
            <w:vAlign w:val="center"/>
          </w:tcPr>
          <w:p w:rsidR="005B54AD" w:rsidRPr="005B54AD" w:rsidRDefault="005B54AD" w:rsidP="00037DE7">
            <w:pPr>
              <w:spacing w:after="0" w:line="240" w:lineRule="auto"/>
              <w:jc w:val="right"/>
              <w:rPr>
                <w:rFonts w:eastAsia="Times New Roman" w:cstheme="minorHAnsi"/>
                <w:color w:val="000000" w:themeColor="text1"/>
                <w:sz w:val="20"/>
                <w:szCs w:val="20"/>
                <w:lang w:eastAsia="hr-BA"/>
              </w:rPr>
            </w:pPr>
            <w:r w:rsidRPr="005B54AD">
              <w:rPr>
                <w:rFonts w:eastAsia="Times New Roman" w:cstheme="minorHAnsi"/>
                <w:color w:val="000000" w:themeColor="text1"/>
                <w:sz w:val="20"/>
                <w:szCs w:val="20"/>
                <w:lang w:eastAsia="hr-BA"/>
              </w:rPr>
              <w:t>7.209.909 KM</w:t>
            </w:r>
          </w:p>
        </w:tc>
        <w:tc>
          <w:tcPr>
            <w:tcW w:w="1671" w:type="dxa"/>
            <w:vAlign w:val="center"/>
          </w:tcPr>
          <w:p w:rsidR="005B54AD" w:rsidRPr="005B54AD" w:rsidRDefault="005B54AD" w:rsidP="00037DE7">
            <w:pPr>
              <w:spacing w:after="0" w:line="240" w:lineRule="auto"/>
              <w:jc w:val="right"/>
              <w:rPr>
                <w:rFonts w:eastAsia="Times New Roman" w:cstheme="minorHAnsi"/>
                <w:color w:val="FF0000"/>
                <w:sz w:val="20"/>
                <w:szCs w:val="20"/>
                <w:lang w:eastAsia="hr-BA"/>
              </w:rPr>
            </w:pPr>
            <w:r w:rsidRPr="005B54AD">
              <w:rPr>
                <w:rFonts w:eastAsia="Times New Roman" w:cstheme="minorHAnsi"/>
                <w:color w:val="FF0000"/>
                <w:sz w:val="20"/>
                <w:szCs w:val="20"/>
                <w:lang w:eastAsia="hr-BA"/>
              </w:rPr>
              <w:t>-74.452 KM</w:t>
            </w:r>
          </w:p>
        </w:tc>
        <w:tc>
          <w:tcPr>
            <w:tcW w:w="1671" w:type="dxa"/>
            <w:vAlign w:val="center"/>
          </w:tcPr>
          <w:p w:rsidR="005B54AD" w:rsidRPr="005B54AD" w:rsidRDefault="005B54AD" w:rsidP="00037DE7">
            <w:pPr>
              <w:spacing w:after="0" w:line="240" w:lineRule="auto"/>
              <w:jc w:val="right"/>
              <w:rPr>
                <w:rFonts w:eastAsia="Times New Roman" w:cstheme="minorHAnsi"/>
                <w:color w:val="FF0000"/>
                <w:sz w:val="20"/>
                <w:szCs w:val="20"/>
                <w:lang w:eastAsia="hr-BA"/>
              </w:rPr>
            </w:pPr>
            <w:r w:rsidRPr="005B54AD">
              <w:rPr>
                <w:rFonts w:eastAsia="Times New Roman" w:cstheme="minorHAnsi"/>
                <w:color w:val="FF0000"/>
                <w:sz w:val="20"/>
                <w:szCs w:val="20"/>
                <w:lang w:eastAsia="hr-BA"/>
              </w:rPr>
              <w:t>-15.000.000 KM</w:t>
            </w:r>
          </w:p>
        </w:tc>
        <w:tc>
          <w:tcPr>
            <w:tcW w:w="1530" w:type="dxa"/>
            <w:vAlign w:val="center"/>
          </w:tcPr>
          <w:p w:rsidR="005B54AD" w:rsidRPr="005B54AD" w:rsidRDefault="005B54AD" w:rsidP="00037DE7">
            <w:pPr>
              <w:spacing w:after="0" w:line="240" w:lineRule="auto"/>
              <w:jc w:val="right"/>
              <w:rPr>
                <w:rFonts w:eastAsia="Times New Roman" w:cstheme="minorHAnsi"/>
                <w:color w:val="FF0000"/>
                <w:sz w:val="20"/>
                <w:szCs w:val="20"/>
                <w:lang w:eastAsia="hr-BA"/>
              </w:rPr>
            </w:pPr>
            <w:r w:rsidRPr="005B54AD">
              <w:rPr>
                <w:rFonts w:eastAsia="Times New Roman" w:cstheme="minorHAnsi"/>
                <w:color w:val="FF0000"/>
                <w:sz w:val="20"/>
                <w:szCs w:val="20"/>
                <w:lang w:eastAsia="hr-BA"/>
              </w:rPr>
              <w:t>-7.864.544KM</w:t>
            </w:r>
          </w:p>
        </w:tc>
        <w:tc>
          <w:tcPr>
            <w:tcW w:w="1806" w:type="dxa"/>
            <w:vAlign w:val="center"/>
          </w:tcPr>
          <w:p w:rsidR="005B54AD" w:rsidRPr="005B54AD" w:rsidRDefault="005B54AD" w:rsidP="00037DE7">
            <w:pPr>
              <w:spacing w:after="0" w:line="240" w:lineRule="auto"/>
              <w:jc w:val="right"/>
              <w:rPr>
                <w:rFonts w:eastAsia="Times New Roman" w:cstheme="minorHAnsi"/>
                <w:color w:val="000000" w:themeColor="text1"/>
                <w:sz w:val="20"/>
                <w:szCs w:val="20"/>
                <w:lang w:eastAsia="hr-BA"/>
              </w:rPr>
            </w:pPr>
            <w:r w:rsidRPr="005B54AD">
              <w:rPr>
                <w:rFonts w:eastAsia="Times New Roman" w:cstheme="minorHAnsi"/>
                <w:color w:val="000000" w:themeColor="text1"/>
                <w:sz w:val="20"/>
                <w:szCs w:val="20"/>
                <w:lang w:eastAsia="hr-BA"/>
              </w:rPr>
              <w:t>4.756.074 KM</w:t>
            </w:r>
          </w:p>
        </w:tc>
      </w:tr>
    </w:tbl>
    <w:p w:rsidR="005B54AD" w:rsidRPr="00E70BF3" w:rsidRDefault="005B54AD" w:rsidP="007A64F4">
      <w:pPr>
        <w:numPr>
          <w:ilvl w:val="0"/>
          <w:numId w:val="22"/>
        </w:numPr>
        <w:spacing w:before="100" w:beforeAutospacing="1" w:after="100" w:afterAutospacing="1" w:line="240" w:lineRule="auto"/>
        <w:jc w:val="both"/>
        <w:rPr>
          <w:rFonts w:eastAsia="Times New Roman" w:cstheme="minorHAnsi"/>
          <w:lang w:eastAsia="hr-BA"/>
        </w:rPr>
      </w:pPr>
      <w:r w:rsidRPr="00E70BF3">
        <w:rPr>
          <w:rStyle w:val="Strong"/>
          <w:rFonts w:cstheme="minorHAnsi"/>
        </w:rPr>
        <w:t>Pozitivni operativni novčani tok</w:t>
      </w:r>
      <w:r w:rsidRPr="00E70BF3">
        <w:rPr>
          <w:rFonts w:cstheme="minorHAnsi"/>
        </w:rPr>
        <w:t xml:space="preserve"> pokazuje kontinuirani rast od 2026. godine, što ukazuje na sve veću sposobnost kompanije da generira gotovinu iz osnovne djelatnosti, čime se osiguravaju sredstva za buduća ulaganja i otplatu finansijskih obaveza</w:t>
      </w:r>
      <w:r w:rsidRPr="00E70BF3">
        <w:rPr>
          <w:rFonts w:eastAsia="Times New Roman" w:cstheme="minorHAnsi"/>
          <w:lang w:eastAsia="hr-BA"/>
        </w:rPr>
        <w:t>.</w:t>
      </w:r>
    </w:p>
    <w:p w:rsidR="005B54AD" w:rsidRPr="00E70BF3" w:rsidRDefault="005B54AD" w:rsidP="007A64F4">
      <w:pPr>
        <w:numPr>
          <w:ilvl w:val="0"/>
          <w:numId w:val="22"/>
        </w:numPr>
        <w:spacing w:before="100" w:beforeAutospacing="1" w:after="100" w:afterAutospacing="1" w:line="240" w:lineRule="auto"/>
        <w:jc w:val="both"/>
        <w:rPr>
          <w:rFonts w:eastAsia="Times New Roman" w:cstheme="minorHAnsi"/>
          <w:lang w:eastAsia="hr-BA"/>
        </w:rPr>
      </w:pPr>
      <w:r w:rsidRPr="00E70BF3">
        <w:rPr>
          <w:rStyle w:val="Strong"/>
          <w:rFonts w:cstheme="minorHAnsi"/>
        </w:rPr>
        <w:t>Investicijski novčani tok</w:t>
      </w:r>
      <w:r w:rsidRPr="00E70BF3">
        <w:rPr>
          <w:rFonts w:cstheme="minorHAnsi"/>
        </w:rPr>
        <w:t xml:space="preserve"> je negativan u ključnim godinama (2027–2028), što je rezultat planiranih kapitalnih ulaganja u modernizaciju proizvodnje, ali se ta ulaganja smatraju strateškim jer dugoročno doprinose rastu prihoda i operativne efikasnosti</w:t>
      </w:r>
      <w:r w:rsidRPr="00E70BF3">
        <w:rPr>
          <w:rFonts w:eastAsia="Times New Roman" w:cstheme="minorHAnsi"/>
          <w:lang w:eastAsia="hr-BA"/>
        </w:rPr>
        <w:t>.</w:t>
      </w:r>
    </w:p>
    <w:p w:rsidR="005B54AD" w:rsidRPr="00E70BF3" w:rsidRDefault="005B54AD" w:rsidP="007A64F4">
      <w:pPr>
        <w:numPr>
          <w:ilvl w:val="0"/>
          <w:numId w:val="22"/>
        </w:numPr>
        <w:spacing w:before="100" w:beforeAutospacing="1" w:after="100" w:afterAutospacing="1" w:line="240" w:lineRule="auto"/>
        <w:jc w:val="both"/>
        <w:rPr>
          <w:rFonts w:eastAsia="Times New Roman" w:cstheme="minorHAnsi"/>
          <w:lang w:eastAsia="hr-BA"/>
        </w:rPr>
      </w:pPr>
      <w:r w:rsidRPr="00E70BF3">
        <w:rPr>
          <w:rStyle w:val="Strong"/>
          <w:rFonts w:cstheme="minorHAnsi"/>
        </w:rPr>
        <w:lastRenderedPageBreak/>
        <w:t>Finansijski novčani tok</w:t>
      </w:r>
      <w:r w:rsidRPr="00E70BF3">
        <w:rPr>
          <w:rFonts w:cstheme="minorHAnsi"/>
        </w:rPr>
        <w:t xml:space="preserve"> u početnom periodu reflektira priliv sredstava iz emisije obveznica, dok kasniji negativni tokovi ukazuju na postupnu otplatu obaveza. Unatoč tome, projekcije pokazuju očuvanje stabilne likvidnosti tokom većeg dijela perioda, zahvaljujući pozitivnom operativnom poslovanju</w:t>
      </w:r>
      <w:r w:rsidRPr="00E70BF3">
        <w:rPr>
          <w:rFonts w:eastAsia="Times New Roman" w:cstheme="minorHAnsi"/>
          <w:lang w:eastAsia="hr-BA"/>
        </w:rPr>
        <w:t>.</w:t>
      </w:r>
    </w:p>
    <w:p w:rsidR="00EC3C87" w:rsidRPr="00E70BF3" w:rsidRDefault="00A00D7B" w:rsidP="00EC3C87">
      <w:pPr>
        <w:spacing w:after="0" w:line="240" w:lineRule="auto"/>
        <w:rPr>
          <w:rFonts w:eastAsia="Times New Roman" w:cstheme="minorHAnsi"/>
          <w:lang w:eastAsia="hr-BA"/>
        </w:rPr>
      </w:pPr>
      <w:r>
        <w:rPr>
          <w:rFonts w:eastAsia="Times New Roman" w:cstheme="minorHAnsi"/>
          <w:lang w:eastAsia="hr-BA"/>
        </w:rPr>
        <w:pict>
          <v:rect id="_x0000_i1032" style="width:0;height:1.5pt" o:hralign="center" o:hrstd="t" o:hr="t" fillcolor="#a0a0a0" stroked="f"/>
        </w:pict>
      </w:r>
    </w:p>
    <w:p w:rsidR="00EC3C87" w:rsidRPr="00E70BF3" w:rsidRDefault="00723BB8" w:rsidP="00EC3C87">
      <w:pPr>
        <w:spacing w:before="100" w:beforeAutospacing="1" w:after="100" w:afterAutospacing="1" w:line="240" w:lineRule="auto"/>
        <w:outlineLvl w:val="2"/>
        <w:rPr>
          <w:rFonts w:eastAsia="Times New Roman" w:cstheme="minorHAnsi"/>
          <w:b/>
          <w:bCs/>
          <w:lang w:eastAsia="hr-BA"/>
        </w:rPr>
      </w:pPr>
      <w:r>
        <w:rPr>
          <w:rFonts w:eastAsia="Times New Roman" w:cstheme="minorHAnsi"/>
          <w:b/>
          <w:bCs/>
          <w:lang w:eastAsia="hr-BA"/>
        </w:rPr>
        <w:t>9</w:t>
      </w:r>
      <w:r w:rsidR="00EC3C87" w:rsidRPr="00E70BF3">
        <w:rPr>
          <w:rFonts w:eastAsia="Times New Roman" w:cstheme="minorHAnsi"/>
          <w:b/>
          <w:bCs/>
          <w:lang w:eastAsia="hr-BA"/>
        </w:rPr>
        <w:t>. Plan poslovanja i finansijske projekcije za 2025-2030</w:t>
      </w:r>
    </w:p>
    <w:p w:rsidR="005F218B" w:rsidRPr="00E70BF3" w:rsidRDefault="00723BB8" w:rsidP="005F218B">
      <w:pPr>
        <w:spacing w:before="100" w:beforeAutospacing="1" w:after="100" w:afterAutospacing="1" w:line="240" w:lineRule="auto"/>
        <w:outlineLvl w:val="3"/>
        <w:rPr>
          <w:rFonts w:eastAsia="Times New Roman" w:cstheme="minorHAnsi"/>
          <w:b/>
          <w:bCs/>
          <w:lang w:eastAsia="hr-BA"/>
        </w:rPr>
      </w:pPr>
      <w:r>
        <w:rPr>
          <w:rFonts w:eastAsia="Times New Roman" w:cstheme="minorHAnsi"/>
          <w:b/>
          <w:bCs/>
          <w:lang w:eastAsia="hr-BA"/>
        </w:rPr>
        <w:t>9</w:t>
      </w:r>
      <w:r w:rsidR="005F218B" w:rsidRPr="00E70BF3">
        <w:rPr>
          <w:rFonts w:eastAsia="Times New Roman" w:cstheme="minorHAnsi"/>
          <w:b/>
          <w:bCs/>
          <w:lang w:eastAsia="hr-BA"/>
        </w:rPr>
        <w:t>.1. Projekcija prihoda i rashoda (2025-20</w:t>
      </w:r>
      <w:r w:rsidR="00972EE7" w:rsidRPr="00E70BF3">
        <w:rPr>
          <w:rFonts w:eastAsia="Times New Roman" w:cstheme="minorHAnsi"/>
          <w:b/>
          <w:bCs/>
          <w:lang w:eastAsia="hr-BA"/>
        </w:rPr>
        <w:t>30</w:t>
      </w:r>
      <w:r w:rsidR="005F218B" w:rsidRPr="00E70BF3">
        <w:rPr>
          <w:rFonts w:eastAsia="Times New Roman" w:cstheme="minorHAnsi"/>
          <w:b/>
          <w:bCs/>
          <w:lang w:eastAsia="hr-BA"/>
        </w:rPr>
        <w:t>)</w:t>
      </w:r>
    </w:p>
    <w:tbl>
      <w:tblPr>
        <w:tblW w:w="0" w:type="auto"/>
        <w:tblCellSpacing w:w="15" w:type="dxa"/>
        <w:tblBorders>
          <w:top w:val="double" w:sz="4" w:space="0" w:color="auto"/>
          <w:left w:val="double" w:sz="4" w:space="0" w:color="auto"/>
          <w:bottom w:val="double" w:sz="4" w:space="0" w:color="auto"/>
          <w:right w:val="double" w:sz="4" w:space="0" w:color="auto"/>
        </w:tblBorders>
        <w:tblCellMar>
          <w:top w:w="15" w:type="dxa"/>
          <w:left w:w="15" w:type="dxa"/>
          <w:bottom w:w="15" w:type="dxa"/>
          <w:right w:w="15" w:type="dxa"/>
        </w:tblCellMar>
        <w:tblLook w:val="04A0" w:firstRow="1" w:lastRow="0" w:firstColumn="1" w:lastColumn="0" w:noHBand="0" w:noVBand="1"/>
      </w:tblPr>
      <w:tblGrid>
        <w:gridCol w:w="704"/>
        <w:gridCol w:w="1555"/>
        <w:gridCol w:w="1683"/>
        <w:gridCol w:w="1543"/>
        <w:gridCol w:w="1957"/>
        <w:gridCol w:w="1554"/>
      </w:tblGrid>
      <w:tr w:rsidR="00EC3C87" w:rsidRPr="00E70BF3" w:rsidTr="005B54AD">
        <w:trPr>
          <w:tblHeader/>
          <w:tblCellSpacing w:w="15" w:type="dxa"/>
        </w:trPr>
        <w:tc>
          <w:tcPr>
            <w:tcW w:w="0" w:type="auto"/>
            <w:vAlign w:val="center"/>
            <w:hideMark/>
          </w:tcPr>
          <w:p w:rsidR="005F218B" w:rsidRPr="005B54AD" w:rsidRDefault="005F218B" w:rsidP="005F218B">
            <w:pPr>
              <w:spacing w:after="0" w:line="240" w:lineRule="auto"/>
              <w:jc w:val="center"/>
              <w:rPr>
                <w:rFonts w:eastAsia="Times New Roman" w:cstheme="minorHAnsi"/>
                <w:b/>
                <w:bCs/>
                <w:sz w:val="20"/>
                <w:szCs w:val="20"/>
                <w:lang w:eastAsia="hr-BA"/>
              </w:rPr>
            </w:pPr>
            <w:r w:rsidRPr="005B54AD">
              <w:rPr>
                <w:rFonts w:eastAsia="Times New Roman" w:cstheme="minorHAnsi"/>
                <w:b/>
                <w:bCs/>
                <w:sz w:val="20"/>
                <w:szCs w:val="20"/>
                <w:lang w:eastAsia="hr-BA"/>
              </w:rPr>
              <w:t>Godina</w:t>
            </w:r>
          </w:p>
        </w:tc>
        <w:tc>
          <w:tcPr>
            <w:tcW w:w="1540" w:type="dxa"/>
            <w:vAlign w:val="center"/>
            <w:hideMark/>
          </w:tcPr>
          <w:p w:rsidR="005F218B" w:rsidRPr="005B54AD" w:rsidRDefault="005F218B" w:rsidP="005F218B">
            <w:pPr>
              <w:spacing w:after="0" w:line="240" w:lineRule="auto"/>
              <w:jc w:val="center"/>
              <w:rPr>
                <w:rFonts w:eastAsia="Times New Roman" w:cstheme="minorHAnsi"/>
                <w:b/>
                <w:bCs/>
                <w:sz w:val="20"/>
                <w:szCs w:val="20"/>
                <w:lang w:eastAsia="hr-BA"/>
              </w:rPr>
            </w:pPr>
            <w:r w:rsidRPr="005B54AD">
              <w:rPr>
                <w:rFonts w:eastAsia="Times New Roman" w:cstheme="minorHAnsi"/>
                <w:b/>
                <w:bCs/>
                <w:sz w:val="20"/>
                <w:szCs w:val="20"/>
                <w:lang w:eastAsia="hr-BA"/>
              </w:rPr>
              <w:t>Prihodi (KM)</w:t>
            </w:r>
          </w:p>
        </w:tc>
        <w:tc>
          <w:tcPr>
            <w:tcW w:w="1671" w:type="dxa"/>
            <w:vAlign w:val="center"/>
            <w:hideMark/>
          </w:tcPr>
          <w:p w:rsidR="005F218B" w:rsidRPr="005B54AD" w:rsidRDefault="005F218B" w:rsidP="005F218B">
            <w:pPr>
              <w:spacing w:after="0" w:line="240" w:lineRule="auto"/>
              <w:jc w:val="center"/>
              <w:rPr>
                <w:rFonts w:eastAsia="Times New Roman" w:cstheme="minorHAnsi"/>
                <w:b/>
                <w:bCs/>
                <w:sz w:val="20"/>
                <w:szCs w:val="20"/>
                <w:lang w:eastAsia="hr-BA"/>
              </w:rPr>
            </w:pPr>
            <w:r w:rsidRPr="005B54AD">
              <w:rPr>
                <w:rFonts w:eastAsia="Times New Roman" w:cstheme="minorHAnsi"/>
                <w:b/>
                <w:bCs/>
                <w:sz w:val="20"/>
                <w:szCs w:val="20"/>
                <w:lang w:eastAsia="hr-BA"/>
              </w:rPr>
              <w:t>Rashodi (KM)</w:t>
            </w:r>
          </w:p>
        </w:tc>
        <w:tc>
          <w:tcPr>
            <w:tcW w:w="1530" w:type="dxa"/>
            <w:vAlign w:val="center"/>
            <w:hideMark/>
          </w:tcPr>
          <w:p w:rsidR="005F218B" w:rsidRPr="005B54AD" w:rsidRDefault="009B0088" w:rsidP="005F218B">
            <w:pPr>
              <w:spacing w:after="0" w:line="240" w:lineRule="auto"/>
              <w:jc w:val="center"/>
              <w:rPr>
                <w:rFonts w:eastAsia="Times New Roman" w:cstheme="minorHAnsi"/>
                <w:b/>
                <w:bCs/>
                <w:sz w:val="20"/>
                <w:szCs w:val="20"/>
                <w:lang w:eastAsia="hr-BA"/>
              </w:rPr>
            </w:pPr>
            <w:r w:rsidRPr="005B54AD">
              <w:rPr>
                <w:rFonts w:eastAsia="Times New Roman" w:cstheme="minorHAnsi"/>
                <w:b/>
                <w:bCs/>
                <w:sz w:val="20"/>
                <w:szCs w:val="20"/>
                <w:lang w:eastAsia="hr-BA"/>
              </w:rPr>
              <w:t>D</w:t>
            </w:r>
            <w:r w:rsidR="005F218B" w:rsidRPr="005B54AD">
              <w:rPr>
                <w:rFonts w:eastAsia="Times New Roman" w:cstheme="minorHAnsi"/>
                <w:b/>
                <w:bCs/>
                <w:sz w:val="20"/>
                <w:szCs w:val="20"/>
                <w:lang w:eastAsia="hr-BA"/>
              </w:rPr>
              <w:t>obit (KM)</w:t>
            </w:r>
          </w:p>
        </w:tc>
        <w:tc>
          <w:tcPr>
            <w:tcW w:w="1954" w:type="dxa"/>
            <w:vAlign w:val="center"/>
            <w:hideMark/>
          </w:tcPr>
          <w:p w:rsidR="005F218B" w:rsidRPr="005B54AD" w:rsidRDefault="005F218B" w:rsidP="005F218B">
            <w:pPr>
              <w:spacing w:after="0" w:line="240" w:lineRule="auto"/>
              <w:jc w:val="center"/>
              <w:rPr>
                <w:rFonts w:eastAsia="Times New Roman" w:cstheme="minorHAnsi"/>
                <w:b/>
                <w:bCs/>
                <w:sz w:val="20"/>
                <w:szCs w:val="20"/>
                <w:lang w:eastAsia="hr-BA"/>
              </w:rPr>
            </w:pPr>
            <w:r w:rsidRPr="005B54AD">
              <w:rPr>
                <w:rFonts w:eastAsia="Times New Roman" w:cstheme="minorHAnsi"/>
                <w:b/>
                <w:bCs/>
                <w:sz w:val="20"/>
                <w:szCs w:val="20"/>
                <w:lang w:eastAsia="hr-BA"/>
              </w:rPr>
              <w:t>Kamata na obveznice (KM)</w:t>
            </w:r>
          </w:p>
        </w:tc>
        <w:tc>
          <w:tcPr>
            <w:tcW w:w="1523" w:type="dxa"/>
            <w:vAlign w:val="center"/>
            <w:hideMark/>
          </w:tcPr>
          <w:p w:rsidR="005F218B" w:rsidRPr="005B54AD" w:rsidRDefault="005F218B" w:rsidP="005F218B">
            <w:pPr>
              <w:spacing w:after="0" w:line="240" w:lineRule="auto"/>
              <w:jc w:val="center"/>
              <w:rPr>
                <w:rFonts w:eastAsia="Times New Roman" w:cstheme="minorHAnsi"/>
                <w:b/>
                <w:bCs/>
                <w:sz w:val="20"/>
                <w:szCs w:val="20"/>
                <w:lang w:eastAsia="hr-BA"/>
              </w:rPr>
            </w:pPr>
            <w:r w:rsidRPr="005B54AD">
              <w:rPr>
                <w:rFonts w:eastAsia="Times New Roman" w:cstheme="minorHAnsi"/>
                <w:b/>
                <w:bCs/>
                <w:sz w:val="20"/>
                <w:szCs w:val="20"/>
                <w:lang w:eastAsia="hr-BA"/>
              </w:rPr>
              <w:t>Otplata glavnice obveznica (KM)</w:t>
            </w:r>
          </w:p>
        </w:tc>
      </w:tr>
      <w:tr w:rsidR="00EC3C87" w:rsidRPr="00E70BF3" w:rsidTr="005B54AD">
        <w:trPr>
          <w:tblCellSpacing w:w="15" w:type="dxa"/>
        </w:trPr>
        <w:tc>
          <w:tcPr>
            <w:tcW w:w="0" w:type="auto"/>
            <w:vAlign w:val="center"/>
            <w:hideMark/>
          </w:tcPr>
          <w:p w:rsidR="005F218B" w:rsidRPr="005B54AD" w:rsidRDefault="005F218B" w:rsidP="005F218B">
            <w:pPr>
              <w:spacing w:after="0" w:line="240" w:lineRule="auto"/>
              <w:rPr>
                <w:rFonts w:eastAsia="Times New Roman" w:cstheme="minorHAnsi"/>
                <w:sz w:val="20"/>
                <w:szCs w:val="20"/>
                <w:lang w:eastAsia="hr-BA"/>
              </w:rPr>
            </w:pPr>
            <w:r w:rsidRPr="005B54AD">
              <w:rPr>
                <w:rFonts w:eastAsia="Times New Roman" w:cstheme="minorHAnsi"/>
                <w:b/>
                <w:bCs/>
                <w:sz w:val="20"/>
                <w:szCs w:val="20"/>
                <w:lang w:eastAsia="hr-BA"/>
              </w:rPr>
              <w:t>2025</w:t>
            </w:r>
          </w:p>
        </w:tc>
        <w:tc>
          <w:tcPr>
            <w:tcW w:w="1540" w:type="dxa"/>
            <w:vAlign w:val="center"/>
            <w:hideMark/>
          </w:tcPr>
          <w:p w:rsidR="005F218B" w:rsidRPr="005B54AD" w:rsidRDefault="00897DFD"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38.329.026</w:t>
            </w:r>
          </w:p>
        </w:tc>
        <w:tc>
          <w:tcPr>
            <w:tcW w:w="1671" w:type="dxa"/>
            <w:vAlign w:val="center"/>
            <w:hideMark/>
          </w:tcPr>
          <w:p w:rsidR="005F218B" w:rsidRPr="005B54AD" w:rsidRDefault="009B0088"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34.796.535</w:t>
            </w:r>
          </w:p>
        </w:tc>
        <w:tc>
          <w:tcPr>
            <w:tcW w:w="1530" w:type="dxa"/>
            <w:vAlign w:val="center"/>
            <w:hideMark/>
          </w:tcPr>
          <w:p w:rsidR="005F218B" w:rsidRPr="005B54AD" w:rsidRDefault="00897DFD"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3.532.491</w:t>
            </w:r>
          </w:p>
        </w:tc>
        <w:tc>
          <w:tcPr>
            <w:tcW w:w="1954" w:type="dxa"/>
            <w:vAlign w:val="center"/>
            <w:hideMark/>
          </w:tcPr>
          <w:p w:rsidR="005F218B" w:rsidRPr="005B54AD" w:rsidRDefault="00896B1F"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406.250</w:t>
            </w:r>
          </w:p>
        </w:tc>
        <w:tc>
          <w:tcPr>
            <w:tcW w:w="1523" w:type="dxa"/>
            <w:vAlign w:val="center"/>
            <w:hideMark/>
          </w:tcPr>
          <w:p w:rsidR="005F218B" w:rsidRPr="005B54AD" w:rsidRDefault="005F218B"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0</w:t>
            </w:r>
          </w:p>
        </w:tc>
      </w:tr>
      <w:tr w:rsidR="00EC3C87" w:rsidRPr="00E70BF3" w:rsidTr="005B54AD">
        <w:trPr>
          <w:tblCellSpacing w:w="15" w:type="dxa"/>
        </w:trPr>
        <w:tc>
          <w:tcPr>
            <w:tcW w:w="0" w:type="auto"/>
            <w:vAlign w:val="center"/>
            <w:hideMark/>
          </w:tcPr>
          <w:p w:rsidR="005F218B" w:rsidRPr="005B54AD" w:rsidRDefault="005F218B" w:rsidP="005F218B">
            <w:pPr>
              <w:spacing w:after="0" w:line="240" w:lineRule="auto"/>
              <w:rPr>
                <w:rFonts w:eastAsia="Times New Roman" w:cstheme="minorHAnsi"/>
                <w:sz w:val="20"/>
                <w:szCs w:val="20"/>
                <w:lang w:eastAsia="hr-BA"/>
              </w:rPr>
            </w:pPr>
            <w:r w:rsidRPr="005B54AD">
              <w:rPr>
                <w:rFonts w:eastAsia="Times New Roman" w:cstheme="minorHAnsi"/>
                <w:b/>
                <w:bCs/>
                <w:sz w:val="20"/>
                <w:szCs w:val="20"/>
                <w:lang w:eastAsia="hr-BA"/>
              </w:rPr>
              <w:t>2026</w:t>
            </w:r>
          </w:p>
        </w:tc>
        <w:tc>
          <w:tcPr>
            <w:tcW w:w="1540" w:type="dxa"/>
            <w:vAlign w:val="center"/>
            <w:hideMark/>
          </w:tcPr>
          <w:p w:rsidR="005F218B" w:rsidRPr="005B54AD" w:rsidRDefault="00E10905"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30.588.95</w:t>
            </w:r>
            <w:r w:rsidR="00897DFD" w:rsidRPr="005B54AD">
              <w:rPr>
                <w:rFonts w:eastAsia="Times New Roman" w:cstheme="minorHAnsi"/>
                <w:sz w:val="20"/>
                <w:szCs w:val="20"/>
                <w:lang w:eastAsia="hr-BA"/>
              </w:rPr>
              <w:t>7</w:t>
            </w:r>
          </w:p>
        </w:tc>
        <w:tc>
          <w:tcPr>
            <w:tcW w:w="1671" w:type="dxa"/>
            <w:vAlign w:val="center"/>
            <w:hideMark/>
          </w:tcPr>
          <w:p w:rsidR="005F218B" w:rsidRPr="005B54AD" w:rsidRDefault="009B0088"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29.</w:t>
            </w:r>
            <w:r w:rsidR="00EB289F" w:rsidRPr="005B54AD">
              <w:rPr>
                <w:rFonts w:eastAsia="Times New Roman" w:cstheme="minorHAnsi"/>
                <w:sz w:val="20"/>
                <w:szCs w:val="20"/>
                <w:lang w:eastAsia="hr-BA"/>
              </w:rPr>
              <w:t>732.641</w:t>
            </w:r>
          </w:p>
        </w:tc>
        <w:tc>
          <w:tcPr>
            <w:tcW w:w="1530" w:type="dxa"/>
            <w:vAlign w:val="center"/>
            <w:hideMark/>
          </w:tcPr>
          <w:p w:rsidR="005F218B" w:rsidRPr="005B54AD" w:rsidRDefault="00EB289F"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856.315</w:t>
            </w:r>
          </w:p>
        </w:tc>
        <w:tc>
          <w:tcPr>
            <w:tcW w:w="1954" w:type="dxa"/>
            <w:vAlign w:val="center"/>
            <w:hideMark/>
          </w:tcPr>
          <w:p w:rsidR="005F218B" w:rsidRPr="005B54AD" w:rsidRDefault="009B0088"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975</w:t>
            </w:r>
            <w:r w:rsidR="005F218B" w:rsidRPr="005B54AD">
              <w:rPr>
                <w:rFonts w:eastAsia="Times New Roman" w:cstheme="minorHAnsi"/>
                <w:sz w:val="20"/>
                <w:szCs w:val="20"/>
                <w:lang w:eastAsia="hr-BA"/>
              </w:rPr>
              <w:t>.000</w:t>
            </w:r>
          </w:p>
        </w:tc>
        <w:tc>
          <w:tcPr>
            <w:tcW w:w="1523" w:type="dxa"/>
            <w:vAlign w:val="center"/>
            <w:hideMark/>
          </w:tcPr>
          <w:p w:rsidR="005F218B" w:rsidRPr="005B54AD" w:rsidRDefault="005F218B"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0</w:t>
            </w:r>
          </w:p>
        </w:tc>
      </w:tr>
      <w:tr w:rsidR="00EC3C87" w:rsidRPr="00E70BF3" w:rsidTr="005B54AD">
        <w:trPr>
          <w:tblCellSpacing w:w="15" w:type="dxa"/>
        </w:trPr>
        <w:tc>
          <w:tcPr>
            <w:tcW w:w="0" w:type="auto"/>
            <w:vAlign w:val="center"/>
            <w:hideMark/>
          </w:tcPr>
          <w:p w:rsidR="005F218B" w:rsidRPr="005B54AD" w:rsidRDefault="005F218B" w:rsidP="005F218B">
            <w:pPr>
              <w:spacing w:after="0" w:line="240" w:lineRule="auto"/>
              <w:rPr>
                <w:rFonts w:eastAsia="Times New Roman" w:cstheme="minorHAnsi"/>
                <w:sz w:val="20"/>
                <w:szCs w:val="20"/>
                <w:lang w:eastAsia="hr-BA"/>
              </w:rPr>
            </w:pPr>
            <w:r w:rsidRPr="005B54AD">
              <w:rPr>
                <w:rFonts w:eastAsia="Times New Roman" w:cstheme="minorHAnsi"/>
                <w:b/>
                <w:bCs/>
                <w:sz w:val="20"/>
                <w:szCs w:val="20"/>
                <w:lang w:eastAsia="hr-BA"/>
              </w:rPr>
              <w:t>2027</w:t>
            </w:r>
          </w:p>
        </w:tc>
        <w:tc>
          <w:tcPr>
            <w:tcW w:w="1540" w:type="dxa"/>
            <w:vAlign w:val="center"/>
            <w:hideMark/>
          </w:tcPr>
          <w:p w:rsidR="005F218B" w:rsidRPr="005B54AD" w:rsidRDefault="00E10905"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30.923.303</w:t>
            </w:r>
          </w:p>
        </w:tc>
        <w:tc>
          <w:tcPr>
            <w:tcW w:w="1671" w:type="dxa"/>
            <w:vAlign w:val="center"/>
            <w:hideMark/>
          </w:tcPr>
          <w:p w:rsidR="005F218B" w:rsidRPr="005B54AD" w:rsidRDefault="009B0088"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27.</w:t>
            </w:r>
            <w:r w:rsidR="00EB289F" w:rsidRPr="005B54AD">
              <w:rPr>
                <w:rFonts w:eastAsia="Times New Roman" w:cstheme="minorHAnsi"/>
                <w:sz w:val="20"/>
                <w:szCs w:val="20"/>
                <w:lang w:eastAsia="hr-BA"/>
              </w:rPr>
              <w:t>920.885</w:t>
            </w:r>
          </w:p>
        </w:tc>
        <w:tc>
          <w:tcPr>
            <w:tcW w:w="1530" w:type="dxa"/>
            <w:vAlign w:val="center"/>
            <w:hideMark/>
          </w:tcPr>
          <w:p w:rsidR="005F218B" w:rsidRPr="005B54AD" w:rsidRDefault="00EB289F"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3.002.418</w:t>
            </w:r>
          </w:p>
        </w:tc>
        <w:tc>
          <w:tcPr>
            <w:tcW w:w="1954" w:type="dxa"/>
            <w:vAlign w:val="center"/>
            <w:hideMark/>
          </w:tcPr>
          <w:p w:rsidR="005F218B" w:rsidRPr="005B54AD" w:rsidRDefault="009B0088"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975</w:t>
            </w:r>
            <w:r w:rsidR="005F218B" w:rsidRPr="005B54AD">
              <w:rPr>
                <w:rFonts w:eastAsia="Times New Roman" w:cstheme="minorHAnsi"/>
                <w:sz w:val="20"/>
                <w:szCs w:val="20"/>
                <w:lang w:eastAsia="hr-BA"/>
              </w:rPr>
              <w:t>.000</w:t>
            </w:r>
          </w:p>
        </w:tc>
        <w:tc>
          <w:tcPr>
            <w:tcW w:w="1523" w:type="dxa"/>
            <w:vAlign w:val="center"/>
            <w:hideMark/>
          </w:tcPr>
          <w:p w:rsidR="005F218B" w:rsidRPr="005B54AD" w:rsidRDefault="005F218B"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0</w:t>
            </w:r>
          </w:p>
        </w:tc>
      </w:tr>
      <w:tr w:rsidR="00EC3C87" w:rsidRPr="00E70BF3" w:rsidTr="005B54AD">
        <w:trPr>
          <w:tblCellSpacing w:w="15" w:type="dxa"/>
        </w:trPr>
        <w:tc>
          <w:tcPr>
            <w:tcW w:w="0" w:type="auto"/>
            <w:vAlign w:val="center"/>
            <w:hideMark/>
          </w:tcPr>
          <w:p w:rsidR="005F218B" w:rsidRPr="005B54AD" w:rsidRDefault="005F218B" w:rsidP="005F218B">
            <w:pPr>
              <w:spacing w:after="0" w:line="240" w:lineRule="auto"/>
              <w:rPr>
                <w:rFonts w:eastAsia="Times New Roman" w:cstheme="minorHAnsi"/>
                <w:sz w:val="20"/>
                <w:szCs w:val="20"/>
                <w:lang w:eastAsia="hr-BA"/>
              </w:rPr>
            </w:pPr>
            <w:r w:rsidRPr="005B54AD">
              <w:rPr>
                <w:rFonts w:eastAsia="Times New Roman" w:cstheme="minorHAnsi"/>
                <w:b/>
                <w:bCs/>
                <w:sz w:val="20"/>
                <w:szCs w:val="20"/>
                <w:lang w:eastAsia="hr-BA"/>
              </w:rPr>
              <w:t>2028</w:t>
            </w:r>
          </w:p>
        </w:tc>
        <w:tc>
          <w:tcPr>
            <w:tcW w:w="1540" w:type="dxa"/>
            <w:vAlign w:val="center"/>
            <w:hideMark/>
          </w:tcPr>
          <w:p w:rsidR="005F218B" w:rsidRPr="005B54AD" w:rsidRDefault="009B0088"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31.240.537</w:t>
            </w:r>
          </w:p>
        </w:tc>
        <w:tc>
          <w:tcPr>
            <w:tcW w:w="1671" w:type="dxa"/>
            <w:vAlign w:val="center"/>
            <w:hideMark/>
          </w:tcPr>
          <w:p w:rsidR="005F218B" w:rsidRPr="005B54AD" w:rsidRDefault="009B0088"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27.</w:t>
            </w:r>
            <w:r w:rsidR="00EB289F" w:rsidRPr="005B54AD">
              <w:rPr>
                <w:rFonts w:eastAsia="Times New Roman" w:cstheme="minorHAnsi"/>
                <w:sz w:val="20"/>
                <w:szCs w:val="20"/>
                <w:lang w:eastAsia="hr-BA"/>
              </w:rPr>
              <w:t>843.577</w:t>
            </w:r>
          </w:p>
        </w:tc>
        <w:tc>
          <w:tcPr>
            <w:tcW w:w="1530" w:type="dxa"/>
            <w:vAlign w:val="center"/>
            <w:hideMark/>
          </w:tcPr>
          <w:p w:rsidR="005F218B" w:rsidRPr="005B54AD" w:rsidRDefault="009B0088"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3.</w:t>
            </w:r>
            <w:r w:rsidR="00EB289F" w:rsidRPr="005B54AD">
              <w:rPr>
                <w:rFonts w:eastAsia="Times New Roman" w:cstheme="minorHAnsi"/>
                <w:sz w:val="20"/>
                <w:szCs w:val="20"/>
                <w:lang w:eastAsia="hr-BA"/>
              </w:rPr>
              <w:t>396.960</w:t>
            </w:r>
          </w:p>
        </w:tc>
        <w:tc>
          <w:tcPr>
            <w:tcW w:w="1954" w:type="dxa"/>
            <w:vAlign w:val="center"/>
            <w:hideMark/>
          </w:tcPr>
          <w:p w:rsidR="005F218B" w:rsidRPr="005B54AD" w:rsidRDefault="009B0088"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975</w:t>
            </w:r>
            <w:r w:rsidR="005F218B" w:rsidRPr="005B54AD">
              <w:rPr>
                <w:rFonts w:eastAsia="Times New Roman" w:cstheme="minorHAnsi"/>
                <w:sz w:val="20"/>
                <w:szCs w:val="20"/>
                <w:lang w:eastAsia="hr-BA"/>
              </w:rPr>
              <w:t>.000</w:t>
            </w:r>
          </w:p>
        </w:tc>
        <w:tc>
          <w:tcPr>
            <w:tcW w:w="1523" w:type="dxa"/>
            <w:vAlign w:val="center"/>
            <w:hideMark/>
          </w:tcPr>
          <w:p w:rsidR="005F218B" w:rsidRPr="005B54AD" w:rsidRDefault="005F218B"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0</w:t>
            </w:r>
          </w:p>
        </w:tc>
      </w:tr>
      <w:tr w:rsidR="00EC3C87" w:rsidRPr="00E70BF3" w:rsidTr="005B54AD">
        <w:trPr>
          <w:tblCellSpacing w:w="15" w:type="dxa"/>
        </w:trPr>
        <w:tc>
          <w:tcPr>
            <w:tcW w:w="0" w:type="auto"/>
            <w:vAlign w:val="center"/>
            <w:hideMark/>
          </w:tcPr>
          <w:p w:rsidR="005F218B" w:rsidRPr="005B54AD" w:rsidRDefault="005F218B" w:rsidP="005F218B">
            <w:pPr>
              <w:spacing w:after="0" w:line="240" w:lineRule="auto"/>
              <w:rPr>
                <w:rFonts w:eastAsia="Times New Roman" w:cstheme="minorHAnsi"/>
                <w:sz w:val="20"/>
                <w:szCs w:val="20"/>
                <w:lang w:eastAsia="hr-BA"/>
              </w:rPr>
            </w:pPr>
            <w:r w:rsidRPr="005B54AD">
              <w:rPr>
                <w:rFonts w:eastAsia="Times New Roman" w:cstheme="minorHAnsi"/>
                <w:b/>
                <w:bCs/>
                <w:sz w:val="20"/>
                <w:szCs w:val="20"/>
                <w:lang w:eastAsia="hr-BA"/>
              </w:rPr>
              <w:t>2029</w:t>
            </w:r>
          </w:p>
        </w:tc>
        <w:tc>
          <w:tcPr>
            <w:tcW w:w="1540" w:type="dxa"/>
            <w:vAlign w:val="center"/>
            <w:hideMark/>
          </w:tcPr>
          <w:p w:rsidR="005F218B" w:rsidRPr="005B54AD" w:rsidRDefault="009B0088"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31.561.263</w:t>
            </w:r>
          </w:p>
        </w:tc>
        <w:tc>
          <w:tcPr>
            <w:tcW w:w="1671" w:type="dxa"/>
            <w:vAlign w:val="center"/>
            <w:hideMark/>
          </w:tcPr>
          <w:p w:rsidR="005F218B" w:rsidRPr="005B54AD" w:rsidRDefault="009B0088"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28.</w:t>
            </w:r>
            <w:r w:rsidR="00EB289F" w:rsidRPr="005B54AD">
              <w:rPr>
                <w:rFonts w:eastAsia="Times New Roman" w:cstheme="minorHAnsi"/>
                <w:sz w:val="20"/>
                <w:szCs w:val="20"/>
                <w:lang w:eastAsia="hr-BA"/>
              </w:rPr>
              <w:t>140.248</w:t>
            </w:r>
          </w:p>
        </w:tc>
        <w:tc>
          <w:tcPr>
            <w:tcW w:w="1530" w:type="dxa"/>
            <w:vAlign w:val="center"/>
            <w:hideMark/>
          </w:tcPr>
          <w:p w:rsidR="005F218B" w:rsidRPr="005B54AD" w:rsidRDefault="009B0088"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3.</w:t>
            </w:r>
            <w:r w:rsidR="00EB289F" w:rsidRPr="005B54AD">
              <w:rPr>
                <w:rFonts w:eastAsia="Times New Roman" w:cstheme="minorHAnsi"/>
                <w:sz w:val="20"/>
                <w:szCs w:val="20"/>
                <w:lang w:eastAsia="hr-BA"/>
              </w:rPr>
              <w:t>421.016</w:t>
            </w:r>
          </w:p>
        </w:tc>
        <w:tc>
          <w:tcPr>
            <w:tcW w:w="1954" w:type="dxa"/>
            <w:vAlign w:val="center"/>
            <w:hideMark/>
          </w:tcPr>
          <w:p w:rsidR="005F218B" w:rsidRPr="005B54AD" w:rsidRDefault="009B0088"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975</w:t>
            </w:r>
            <w:r w:rsidR="005F218B" w:rsidRPr="005B54AD">
              <w:rPr>
                <w:rFonts w:eastAsia="Times New Roman" w:cstheme="minorHAnsi"/>
                <w:sz w:val="20"/>
                <w:szCs w:val="20"/>
                <w:lang w:eastAsia="hr-BA"/>
              </w:rPr>
              <w:t>.000</w:t>
            </w:r>
          </w:p>
        </w:tc>
        <w:tc>
          <w:tcPr>
            <w:tcW w:w="1523" w:type="dxa"/>
            <w:vAlign w:val="center"/>
            <w:hideMark/>
          </w:tcPr>
          <w:p w:rsidR="005F218B" w:rsidRPr="005B54AD" w:rsidRDefault="009B0088"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0</w:t>
            </w:r>
          </w:p>
        </w:tc>
      </w:tr>
      <w:tr w:rsidR="009B0088" w:rsidRPr="00E70BF3" w:rsidTr="005B54AD">
        <w:trPr>
          <w:tblCellSpacing w:w="15" w:type="dxa"/>
        </w:trPr>
        <w:tc>
          <w:tcPr>
            <w:tcW w:w="0" w:type="auto"/>
            <w:vAlign w:val="center"/>
          </w:tcPr>
          <w:p w:rsidR="009B0088" w:rsidRPr="005B54AD" w:rsidRDefault="009B0088" w:rsidP="005F218B">
            <w:pPr>
              <w:spacing w:after="0" w:line="240" w:lineRule="auto"/>
              <w:rPr>
                <w:rFonts w:eastAsia="Times New Roman" w:cstheme="minorHAnsi"/>
                <w:b/>
                <w:bCs/>
                <w:sz w:val="20"/>
                <w:szCs w:val="20"/>
                <w:lang w:eastAsia="hr-BA"/>
              </w:rPr>
            </w:pPr>
            <w:r w:rsidRPr="005B54AD">
              <w:rPr>
                <w:rFonts w:eastAsia="Times New Roman" w:cstheme="minorHAnsi"/>
                <w:b/>
                <w:bCs/>
                <w:sz w:val="20"/>
                <w:szCs w:val="20"/>
                <w:lang w:eastAsia="hr-BA"/>
              </w:rPr>
              <w:t>2030</w:t>
            </w:r>
          </w:p>
        </w:tc>
        <w:tc>
          <w:tcPr>
            <w:tcW w:w="1540" w:type="dxa"/>
            <w:vAlign w:val="center"/>
          </w:tcPr>
          <w:p w:rsidR="009B0088" w:rsidRPr="005B54AD" w:rsidRDefault="009B0088"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31.885.529</w:t>
            </w:r>
          </w:p>
        </w:tc>
        <w:tc>
          <w:tcPr>
            <w:tcW w:w="1671" w:type="dxa"/>
            <w:vAlign w:val="center"/>
          </w:tcPr>
          <w:p w:rsidR="009B0088" w:rsidRPr="005B54AD" w:rsidRDefault="009B0088"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27.</w:t>
            </w:r>
            <w:r w:rsidR="00EB289F" w:rsidRPr="005B54AD">
              <w:rPr>
                <w:rFonts w:eastAsia="Times New Roman" w:cstheme="minorHAnsi"/>
                <w:sz w:val="20"/>
                <w:szCs w:val="20"/>
                <w:lang w:eastAsia="hr-BA"/>
              </w:rPr>
              <w:t>279.554</w:t>
            </w:r>
          </w:p>
        </w:tc>
        <w:tc>
          <w:tcPr>
            <w:tcW w:w="1530" w:type="dxa"/>
            <w:vAlign w:val="center"/>
          </w:tcPr>
          <w:p w:rsidR="009B0088" w:rsidRPr="005B54AD" w:rsidRDefault="009B0088"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4.</w:t>
            </w:r>
            <w:r w:rsidR="00EB289F" w:rsidRPr="005B54AD">
              <w:rPr>
                <w:rFonts w:eastAsia="Times New Roman" w:cstheme="minorHAnsi"/>
                <w:sz w:val="20"/>
                <w:szCs w:val="20"/>
                <w:lang w:eastAsia="hr-BA"/>
              </w:rPr>
              <w:t>605.976</w:t>
            </w:r>
          </w:p>
        </w:tc>
        <w:tc>
          <w:tcPr>
            <w:tcW w:w="1954" w:type="dxa"/>
            <w:vAlign w:val="center"/>
          </w:tcPr>
          <w:p w:rsidR="009B0088" w:rsidRPr="005B54AD" w:rsidRDefault="00896B1F"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568.750</w:t>
            </w:r>
          </w:p>
        </w:tc>
        <w:tc>
          <w:tcPr>
            <w:tcW w:w="1523" w:type="dxa"/>
            <w:vAlign w:val="center"/>
          </w:tcPr>
          <w:p w:rsidR="009B0088" w:rsidRPr="005B54AD" w:rsidRDefault="009B0088" w:rsidP="00972EE7">
            <w:pPr>
              <w:spacing w:after="0" w:line="240" w:lineRule="auto"/>
              <w:jc w:val="right"/>
              <w:rPr>
                <w:rFonts w:eastAsia="Times New Roman" w:cstheme="minorHAnsi"/>
                <w:sz w:val="20"/>
                <w:szCs w:val="20"/>
                <w:lang w:eastAsia="hr-BA"/>
              </w:rPr>
            </w:pPr>
            <w:r w:rsidRPr="005B54AD">
              <w:rPr>
                <w:rFonts w:eastAsia="Times New Roman" w:cstheme="minorHAnsi"/>
                <w:sz w:val="20"/>
                <w:szCs w:val="20"/>
                <w:lang w:eastAsia="hr-BA"/>
              </w:rPr>
              <w:t>15.000.000</w:t>
            </w:r>
          </w:p>
        </w:tc>
      </w:tr>
    </w:tbl>
    <w:p w:rsidR="005F218B" w:rsidRPr="00E70BF3" w:rsidRDefault="005F218B" w:rsidP="007A64F4">
      <w:pPr>
        <w:numPr>
          <w:ilvl w:val="0"/>
          <w:numId w:val="6"/>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Godišnja kamata:</w:t>
      </w:r>
      <w:r w:rsidR="00A900DA">
        <w:rPr>
          <w:rFonts w:eastAsia="Times New Roman" w:cstheme="minorHAnsi"/>
          <w:b/>
          <w:bCs/>
          <w:lang w:eastAsia="hr-BA"/>
        </w:rPr>
        <w:t xml:space="preserve"> </w:t>
      </w:r>
      <w:r w:rsidR="003B2C20" w:rsidRPr="00E70BF3">
        <w:rPr>
          <w:rFonts w:eastAsia="Times New Roman" w:cstheme="minorHAnsi"/>
          <w:lang w:eastAsia="hr-BA"/>
        </w:rPr>
        <w:t>975.000</w:t>
      </w:r>
      <w:r w:rsidRPr="00E70BF3">
        <w:rPr>
          <w:rFonts w:eastAsia="Times New Roman" w:cstheme="minorHAnsi"/>
          <w:lang w:eastAsia="hr-BA"/>
        </w:rPr>
        <w:t xml:space="preserve"> KM biće isplaćeno svake godine, prema uslovima obveznica.</w:t>
      </w:r>
    </w:p>
    <w:p w:rsidR="005F218B" w:rsidRPr="00E70BF3" w:rsidRDefault="005F218B" w:rsidP="007A64F4">
      <w:pPr>
        <w:numPr>
          <w:ilvl w:val="0"/>
          <w:numId w:val="6"/>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Otplata glavnice:</w:t>
      </w:r>
      <w:r w:rsidRPr="00E70BF3">
        <w:rPr>
          <w:rFonts w:eastAsia="Times New Roman" w:cstheme="minorHAnsi"/>
          <w:lang w:eastAsia="hr-BA"/>
        </w:rPr>
        <w:t xml:space="preserve"> Na kraju 20</w:t>
      </w:r>
      <w:r w:rsidR="00972EE7" w:rsidRPr="00E70BF3">
        <w:rPr>
          <w:rFonts w:eastAsia="Times New Roman" w:cstheme="minorHAnsi"/>
          <w:lang w:eastAsia="hr-BA"/>
        </w:rPr>
        <w:t>30</w:t>
      </w:r>
      <w:r w:rsidRPr="00E70BF3">
        <w:rPr>
          <w:rFonts w:eastAsia="Times New Roman" w:cstheme="minorHAnsi"/>
          <w:lang w:eastAsia="hr-BA"/>
        </w:rPr>
        <w:t xml:space="preserve">. godine, </w:t>
      </w:r>
      <w:r w:rsidR="00134D2C">
        <w:rPr>
          <w:rFonts w:eastAsia="Times New Roman" w:cstheme="minorHAnsi"/>
          <w:lang w:eastAsia="hr-BA"/>
        </w:rPr>
        <w:t>Sarajevska pivara d.d. Sarajevo</w:t>
      </w:r>
      <w:r w:rsidRPr="00E70BF3">
        <w:rPr>
          <w:rFonts w:eastAsia="Times New Roman" w:cstheme="minorHAnsi"/>
          <w:lang w:eastAsia="hr-BA"/>
        </w:rPr>
        <w:t xml:space="preserve"> će otplatiti 1</w:t>
      </w:r>
      <w:r w:rsidR="003B2C20" w:rsidRPr="00E70BF3">
        <w:rPr>
          <w:rFonts w:eastAsia="Times New Roman" w:cstheme="minorHAnsi"/>
          <w:lang w:eastAsia="hr-BA"/>
        </w:rPr>
        <w:t>5</w:t>
      </w:r>
      <w:r w:rsidRPr="00E70BF3">
        <w:rPr>
          <w:rFonts w:eastAsia="Times New Roman" w:cstheme="minorHAnsi"/>
          <w:lang w:eastAsia="hr-BA"/>
        </w:rPr>
        <w:t>.000.000 KM glavnice iz svog novčanog toka.</w:t>
      </w:r>
    </w:p>
    <w:p w:rsidR="005F218B" w:rsidRPr="00E70BF3" w:rsidRDefault="00723BB8" w:rsidP="005F218B">
      <w:pPr>
        <w:spacing w:before="100" w:beforeAutospacing="1" w:after="100" w:afterAutospacing="1" w:line="240" w:lineRule="auto"/>
        <w:outlineLvl w:val="3"/>
        <w:rPr>
          <w:rFonts w:eastAsia="Times New Roman" w:cstheme="minorHAnsi"/>
          <w:b/>
          <w:bCs/>
          <w:lang w:eastAsia="hr-BA"/>
        </w:rPr>
      </w:pPr>
      <w:r>
        <w:rPr>
          <w:rFonts w:eastAsia="Times New Roman" w:cstheme="minorHAnsi"/>
          <w:b/>
          <w:bCs/>
          <w:lang w:eastAsia="hr-BA"/>
        </w:rPr>
        <w:t>9</w:t>
      </w:r>
      <w:r w:rsidR="005F218B" w:rsidRPr="00E70BF3">
        <w:rPr>
          <w:rFonts w:eastAsia="Times New Roman" w:cstheme="minorHAnsi"/>
          <w:b/>
          <w:bCs/>
          <w:lang w:eastAsia="hr-BA"/>
        </w:rPr>
        <w:t>.2. Plan otplate kamata i glavnice</w:t>
      </w:r>
    </w:p>
    <w:p w:rsidR="005F218B" w:rsidRPr="00E70BF3" w:rsidRDefault="005F218B" w:rsidP="005F218B">
      <w:pPr>
        <w:spacing w:before="100" w:beforeAutospacing="1" w:after="100" w:afterAutospacing="1" w:line="240" w:lineRule="auto"/>
        <w:rPr>
          <w:rFonts w:eastAsia="Times New Roman" w:cstheme="minorHAnsi"/>
          <w:lang w:eastAsia="hr-BA"/>
        </w:rPr>
      </w:pPr>
      <w:r w:rsidRPr="00E70BF3">
        <w:rPr>
          <w:rFonts w:eastAsia="Times New Roman" w:cstheme="minorHAnsi"/>
          <w:b/>
          <w:bCs/>
          <w:lang w:eastAsia="hr-BA"/>
        </w:rPr>
        <w:t>Plan otplate kamata</w:t>
      </w:r>
      <w:r w:rsidRPr="00E70BF3">
        <w:rPr>
          <w:rFonts w:eastAsia="Times New Roman" w:cstheme="minorHAnsi"/>
          <w:lang w:eastAsia="hr-BA"/>
        </w:rPr>
        <w:t>:</w:t>
      </w:r>
    </w:p>
    <w:p w:rsidR="005F218B" w:rsidRPr="00E70BF3" w:rsidRDefault="005F218B" w:rsidP="005F218B">
      <w:pPr>
        <w:numPr>
          <w:ilvl w:val="0"/>
          <w:numId w:val="7"/>
        </w:numPr>
        <w:spacing w:before="100" w:beforeAutospacing="1" w:after="100" w:afterAutospacing="1" w:line="240" w:lineRule="auto"/>
        <w:rPr>
          <w:rFonts w:eastAsia="Times New Roman" w:cstheme="minorHAnsi"/>
          <w:lang w:eastAsia="hr-BA"/>
        </w:rPr>
      </w:pPr>
      <w:r w:rsidRPr="00E70BF3">
        <w:rPr>
          <w:rFonts w:eastAsia="Times New Roman" w:cstheme="minorHAnsi"/>
          <w:lang w:eastAsia="hr-BA"/>
        </w:rPr>
        <w:t>Kamate će biti isplaćivane</w:t>
      </w:r>
      <w:r w:rsidR="00972EE7" w:rsidRPr="00E70BF3">
        <w:rPr>
          <w:rFonts w:eastAsia="Times New Roman" w:cstheme="minorHAnsi"/>
          <w:lang w:eastAsia="hr-BA"/>
        </w:rPr>
        <w:t xml:space="preserve">, </w:t>
      </w:r>
      <w:r w:rsidR="00972EE7" w:rsidRPr="00E70BF3">
        <w:rPr>
          <w:rFonts w:eastAsia="Times New Roman" w:cstheme="minorHAnsi"/>
          <w:color w:val="000000" w:themeColor="text1"/>
          <w:lang w:eastAsia="hr-BA"/>
        </w:rPr>
        <w:t>mjesečn</w:t>
      </w:r>
      <w:r w:rsidR="003B2C20" w:rsidRPr="00E70BF3">
        <w:rPr>
          <w:rFonts w:eastAsia="Times New Roman" w:cstheme="minorHAnsi"/>
          <w:color w:val="000000" w:themeColor="text1"/>
          <w:lang w:eastAsia="hr-BA"/>
        </w:rPr>
        <w:t>o</w:t>
      </w:r>
      <w:r w:rsidRPr="00E70BF3">
        <w:rPr>
          <w:rFonts w:eastAsia="Times New Roman" w:cstheme="minorHAnsi"/>
          <w:lang w:eastAsia="hr-BA"/>
        </w:rPr>
        <w:t>(</w:t>
      </w:r>
      <w:r w:rsidR="00972EE7" w:rsidRPr="00E70BF3">
        <w:rPr>
          <w:rFonts w:eastAsia="Times New Roman" w:cstheme="minorHAnsi"/>
          <w:lang w:eastAsia="hr-BA"/>
        </w:rPr>
        <w:t xml:space="preserve">ukupno </w:t>
      </w:r>
      <w:r w:rsidR="003B2C20" w:rsidRPr="00E70BF3">
        <w:rPr>
          <w:rFonts w:eastAsia="Times New Roman" w:cstheme="minorHAnsi"/>
          <w:lang w:eastAsia="hr-BA"/>
        </w:rPr>
        <w:t>975.000</w:t>
      </w:r>
      <w:r w:rsidRPr="00E70BF3">
        <w:rPr>
          <w:rFonts w:eastAsia="Times New Roman" w:cstheme="minorHAnsi"/>
          <w:lang w:eastAsia="hr-BA"/>
        </w:rPr>
        <w:t xml:space="preserve"> KM godišnje).</w:t>
      </w:r>
    </w:p>
    <w:p w:rsidR="005F218B" w:rsidRPr="00E70BF3" w:rsidRDefault="005F218B" w:rsidP="005F218B">
      <w:pPr>
        <w:spacing w:before="100" w:beforeAutospacing="1" w:after="100" w:afterAutospacing="1" w:line="240" w:lineRule="auto"/>
        <w:rPr>
          <w:rFonts w:eastAsia="Times New Roman" w:cstheme="minorHAnsi"/>
          <w:lang w:eastAsia="hr-BA"/>
        </w:rPr>
      </w:pPr>
      <w:r w:rsidRPr="00E70BF3">
        <w:rPr>
          <w:rFonts w:eastAsia="Times New Roman" w:cstheme="minorHAnsi"/>
          <w:b/>
          <w:bCs/>
          <w:lang w:eastAsia="hr-BA"/>
        </w:rPr>
        <w:t>Plan otplate glavnice</w:t>
      </w:r>
      <w:r w:rsidRPr="00E70BF3">
        <w:rPr>
          <w:rFonts w:eastAsia="Times New Roman" w:cstheme="minorHAnsi"/>
          <w:lang w:eastAsia="hr-BA"/>
        </w:rPr>
        <w:t>:</w:t>
      </w:r>
    </w:p>
    <w:p w:rsidR="005F218B" w:rsidRPr="00E70BF3" w:rsidRDefault="005F218B" w:rsidP="005F218B">
      <w:pPr>
        <w:numPr>
          <w:ilvl w:val="0"/>
          <w:numId w:val="8"/>
        </w:numPr>
        <w:spacing w:before="100" w:beforeAutospacing="1" w:after="100" w:afterAutospacing="1" w:line="240" w:lineRule="auto"/>
        <w:rPr>
          <w:rFonts w:eastAsia="Times New Roman" w:cstheme="minorHAnsi"/>
          <w:lang w:eastAsia="hr-BA"/>
        </w:rPr>
      </w:pPr>
      <w:r w:rsidRPr="00E70BF3">
        <w:rPr>
          <w:rFonts w:eastAsia="Times New Roman" w:cstheme="minorHAnsi"/>
          <w:b/>
          <w:bCs/>
          <w:lang w:eastAsia="hr-BA"/>
        </w:rPr>
        <w:t>20</w:t>
      </w:r>
      <w:r w:rsidR="00972EE7" w:rsidRPr="00E70BF3">
        <w:rPr>
          <w:rFonts w:eastAsia="Times New Roman" w:cstheme="minorHAnsi"/>
          <w:b/>
          <w:bCs/>
          <w:lang w:eastAsia="hr-BA"/>
        </w:rPr>
        <w:t>30</w:t>
      </w:r>
      <w:r w:rsidRPr="00E70BF3">
        <w:rPr>
          <w:rFonts w:eastAsia="Times New Roman" w:cstheme="minorHAnsi"/>
          <w:b/>
          <w:bCs/>
          <w:lang w:eastAsia="hr-BA"/>
        </w:rPr>
        <w:t>. godina</w:t>
      </w:r>
      <w:r w:rsidRPr="00E70BF3">
        <w:rPr>
          <w:rFonts w:eastAsia="Times New Roman" w:cstheme="minorHAnsi"/>
          <w:lang w:eastAsia="hr-BA"/>
        </w:rPr>
        <w:t>: Otplata glavnice od 1</w:t>
      </w:r>
      <w:r w:rsidR="003B2C20" w:rsidRPr="00E70BF3">
        <w:rPr>
          <w:rFonts w:eastAsia="Times New Roman" w:cstheme="minorHAnsi"/>
          <w:lang w:eastAsia="hr-BA"/>
        </w:rPr>
        <w:t>5</w:t>
      </w:r>
      <w:r w:rsidRPr="00E70BF3">
        <w:rPr>
          <w:rFonts w:eastAsia="Times New Roman" w:cstheme="minorHAnsi"/>
          <w:lang w:eastAsia="hr-BA"/>
        </w:rPr>
        <w:t>.000.000 KM.</w:t>
      </w:r>
    </w:p>
    <w:p w:rsidR="005F218B" w:rsidRPr="00E70BF3" w:rsidRDefault="00A00D7B" w:rsidP="005F218B">
      <w:pPr>
        <w:spacing w:after="0" w:line="240" w:lineRule="auto"/>
        <w:rPr>
          <w:rFonts w:eastAsia="Times New Roman" w:cstheme="minorHAnsi"/>
          <w:lang w:eastAsia="hr-BA"/>
        </w:rPr>
      </w:pPr>
      <w:r>
        <w:rPr>
          <w:rFonts w:eastAsia="Times New Roman" w:cstheme="minorHAnsi"/>
          <w:lang w:eastAsia="hr-BA"/>
        </w:rPr>
        <w:pict>
          <v:rect id="_x0000_i1033" style="width:0;height:1.5pt" o:hralign="center" o:hrstd="t" o:hr="t" fillcolor="#a0a0a0" stroked="f"/>
        </w:pict>
      </w:r>
    </w:p>
    <w:p w:rsidR="00EC3C87" w:rsidRPr="00E70BF3" w:rsidRDefault="005B54AD" w:rsidP="00EC3C87">
      <w:pPr>
        <w:spacing w:before="100" w:beforeAutospacing="1" w:after="100" w:afterAutospacing="1" w:line="240" w:lineRule="auto"/>
        <w:outlineLvl w:val="2"/>
        <w:rPr>
          <w:rFonts w:eastAsia="Times New Roman" w:cstheme="minorHAnsi"/>
          <w:b/>
          <w:bCs/>
          <w:lang w:eastAsia="hr-BA"/>
        </w:rPr>
      </w:pPr>
      <w:r>
        <w:rPr>
          <w:rFonts w:eastAsia="Times New Roman" w:cstheme="minorHAnsi"/>
          <w:b/>
          <w:bCs/>
          <w:lang w:eastAsia="hr-BA"/>
        </w:rPr>
        <w:t>10</w:t>
      </w:r>
      <w:r w:rsidR="00EC3C87" w:rsidRPr="00E70BF3">
        <w:rPr>
          <w:rFonts w:eastAsia="Times New Roman" w:cstheme="minorHAnsi"/>
          <w:b/>
          <w:bCs/>
          <w:lang w:eastAsia="hr-BA"/>
        </w:rPr>
        <w:t>. Amortizacijski i otplatni plan za nove investicije</w:t>
      </w:r>
    </w:p>
    <w:p w:rsidR="00EC3C87" w:rsidRPr="00E70BF3" w:rsidRDefault="00EC3C87" w:rsidP="007A64F4">
      <w:pPr>
        <w:spacing w:before="100" w:beforeAutospacing="1" w:after="100" w:afterAutospacing="1" w:line="240" w:lineRule="auto"/>
        <w:jc w:val="both"/>
        <w:rPr>
          <w:rFonts w:eastAsia="Times New Roman" w:cstheme="minorHAnsi"/>
          <w:lang w:eastAsia="hr-BA"/>
        </w:rPr>
      </w:pPr>
      <w:r w:rsidRPr="00E70BF3">
        <w:rPr>
          <w:rFonts w:eastAsia="Times New Roman" w:cstheme="minorHAnsi"/>
          <w:lang w:eastAsia="hr-BA"/>
        </w:rPr>
        <w:t xml:space="preserve">Plan amortizacije i otplate za investicije u tehnologiju i infrastrukturu osigurava održivost i jasno definirane troškove. Predloženi plan amortizacije temelji se na investicijama od </w:t>
      </w:r>
      <w:r w:rsidRPr="00E70BF3">
        <w:rPr>
          <w:rFonts w:eastAsia="Times New Roman" w:cstheme="minorHAnsi"/>
          <w:b/>
          <w:bCs/>
          <w:lang w:eastAsia="hr-BA"/>
        </w:rPr>
        <w:t xml:space="preserve">10 </w:t>
      </w:r>
      <w:r w:rsidR="006E31C8" w:rsidRPr="00E70BF3">
        <w:rPr>
          <w:rFonts w:eastAsia="Times New Roman" w:cstheme="minorHAnsi"/>
          <w:b/>
          <w:bCs/>
          <w:lang w:eastAsia="hr-BA"/>
        </w:rPr>
        <w:t>miliona</w:t>
      </w:r>
      <w:r w:rsidRPr="00E70BF3">
        <w:rPr>
          <w:rFonts w:eastAsia="Times New Roman" w:cstheme="minorHAnsi"/>
          <w:b/>
          <w:bCs/>
          <w:lang w:eastAsia="hr-BA"/>
        </w:rPr>
        <w:t xml:space="preserve"> KM</w:t>
      </w:r>
      <w:r w:rsidRPr="00E70BF3">
        <w:rPr>
          <w:rFonts w:eastAsia="Times New Roman" w:cstheme="minorHAnsi"/>
          <w:lang w:eastAsia="hr-BA"/>
        </w:rPr>
        <w:t xml:space="preserve"> u modernizaciju proizvodnje.</w:t>
      </w:r>
    </w:p>
    <w:p w:rsidR="00EC3C87" w:rsidRPr="00E70BF3" w:rsidRDefault="00EC3C87" w:rsidP="00EC3C87">
      <w:pPr>
        <w:spacing w:before="100" w:beforeAutospacing="1" w:after="100" w:afterAutospacing="1" w:line="240" w:lineRule="auto"/>
        <w:outlineLvl w:val="3"/>
        <w:rPr>
          <w:rFonts w:eastAsia="Times New Roman" w:cstheme="minorHAnsi"/>
          <w:b/>
          <w:bCs/>
          <w:lang w:eastAsia="hr-BA"/>
        </w:rPr>
      </w:pPr>
      <w:r w:rsidRPr="00E70BF3">
        <w:rPr>
          <w:rFonts w:eastAsia="Times New Roman" w:cstheme="minorHAnsi"/>
          <w:b/>
          <w:bCs/>
          <w:lang w:eastAsia="hr-BA"/>
        </w:rPr>
        <w:t xml:space="preserve">Amortizacija za 10 </w:t>
      </w:r>
      <w:r w:rsidR="006E31C8" w:rsidRPr="00E70BF3">
        <w:rPr>
          <w:rFonts w:eastAsia="Times New Roman" w:cstheme="minorHAnsi"/>
          <w:b/>
          <w:bCs/>
          <w:lang w:eastAsia="hr-BA"/>
        </w:rPr>
        <w:t>miliona</w:t>
      </w:r>
      <w:r w:rsidRPr="00E70BF3">
        <w:rPr>
          <w:rFonts w:eastAsia="Times New Roman" w:cstheme="minorHAnsi"/>
          <w:b/>
          <w:bCs/>
          <w:lang w:eastAsia="hr-BA"/>
        </w:rPr>
        <w:t xml:space="preserve"> KM investicija</w:t>
      </w:r>
    </w:p>
    <w:p w:rsidR="00EC3C87" w:rsidRPr="00E70BF3" w:rsidRDefault="00EC3C87" w:rsidP="00EC3C87">
      <w:pPr>
        <w:spacing w:before="100" w:beforeAutospacing="1" w:after="100" w:afterAutospacing="1" w:line="240" w:lineRule="auto"/>
        <w:rPr>
          <w:rFonts w:eastAsia="Times New Roman" w:cstheme="minorHAnsi"/>
          <w:lang w:eastAsia="hr-BA"/>
        </w:rPr>
      </w:pPr>
      <w:r w:rsidRPr="00E70BF3">
        <w:rPr>
          <w:rFonts w:eastAsia="Times New Roman" w:cstheme="minorHAnsi"/>
          <w:lang w:eastAsia="hr-BA"/>
        </w:rPr>
        <w:t xml:space="preserve">Ako se investicije amortiziraju </w:t>
      </w:r>
      <w:r w:rsidR="006E31C8" w:rsidRPr="00E70BF3">
        <w:rPr>
          <w:rFonts w:eastAsia="Times New Roman" w:cstheme="minorHAnsi"/>
          <w:lang w:eastAsia="hr-BA"/>
        </w:rPr>
        <w:t>tokom</w:t>
      </w:r>
      <w:r w:rsidRPr="00E70BF3">
        <w:rPr>
          <w:rFonts w:eastAsia="Times New Roman" w:cstheme="minorHAnsi"/>
          <w:lang w:eastAsia="hr-BA"/>
        </w:rPr>
        <w:t xml:space="preserve"> 5 godina, možemo pretpostaviti linearnu amortizaciju:</w:t>
      </w:r>
    </w:p>
    <w:p w:rsidR="00EC3C87" w:rsidRPr="00E70BF3" w:rsidRDefault="00EC3C87" w:rsidP="00EC3C87">
      <w:pPr>
        <w:numPr>
          <w:ilvl w:val="0"/>
          <w:numId w:val="23"/>
        </w:numPr>
        <w:spacing w:before="100" w:beforeAutospacing="1" w:after="100" w:afterAutospacing="1" w:line="240" w:lineRule="auto"/>
        <w:rPr>
          <w:rFonts w:eastAsia="Times New Roman" w:cstheme="minorHAnsi"/>
          <w:lang w:eastAsia="hr-BA"/>
        </w:rPr>
      </w:pPr>
      <w:r w:rsidRPr="00E70BF3">
        <w:rPr>
          <w:rFonts w:eastAsia="Times New Roman" w:cstheme="minorHAnsi"/>
          <w:b/>
          <w:bCs/>
          <w:lang w:eastAsia="hr-BA"/>
        </w:rPr>
        <w:t>Godina 2025</w:t>
      </w:r>
      <w:r w:rsidRPr="00E70BF3">
        <w:rPr>
          <w:rFonts w:eastAsia="Times New Roman" w:cstheme="minorHAnsi"/>
          <w:lang w:eastAsia="hr-BA"/>
        </w:rPr>
        <w:t>: Amortizacija 2 mil</w:t>
      </w:r>
      <w:r w:rsidR="006E31C8" w:rsidRPr="00E70BF3">
        <w:rPr>
          <w:rFonts w:eastAsia="Times New Roman" w:cstheme="minorHAnsi"/>
          <w:lang w:eastAsia="hr-BA"/>
        </w:rPr>
        <w:t>io</w:t>
      </w:r>
      <w:r w:rsidRPr="00E70BF3">
        <w:rPr>
          <w:rFonts w:eastAsia="Times New Roman" w:cstheme="minorHAnsi"/>
          <w:lang w:eastAsia="hr-BA"/>
        </w:rPr>
        <w:t>na KM</w:t>
      </w:r>
    </w:p>
    <w:p w:rsidR="00EC3C87" w:rsidRPr="00E70BF3" w:rsidRDefault="00EC3C87" w:rsidP="00EC3C87">
      <w:pPr>
        <w:numPr>
          <w:ilvl w:val="0"/>
          <w:numId w:val="23"/>
        </w:numPr>
        <w:spacing w:before="100" w:beforeAutospacing="1" w:after="100" w:afterAutospacing="1" w:line="240" w:lineRule="auto"/>
        <w:rPr>
          <w:rFonts w:eastAsia="Times New Roman" w:cstheme="minorHAnsi"/>
          <w:lang w:eastAsia="hr-BA"/>
        </w:rPr>
      </w:pPr>
      <w:r w:rsidRPr="00E70BF3">
        <w:rPr>
          <w:rFonts w:eastAsia="Times New Roman" w:cstheme="minorHAnsi"/>
          <w:b/>
          <w:bCs/>
          <w:lang w:eastAsia="hr-BA"/>
        </w:rPr>
        <w:t>Godina 2026</w:t>
      </w:r>
      <w:r w:rsidRPr="00E70BF3">
        <w:rPr>
          <w:rFonts w:eastAsia="Times New Roman" w:cstheme="minorHAnsi"/>
          <w:lang w:eastAsia="hr-BA"/>
        </w:rPr>
        <w:t xml:space="preserve">: Amortizacija 2 </w:t>
      </w:r>
      <w:r w:rsidR="006E31C8" w:rsidRPr="00E70BF3">
        <w:rPr>
          <w:rFonts w:eastAsia="Times New Roman" w:cstheme="minorHAnsi"/>
          <w:lang w:eastAsia="hr-BA"/>
        </w:rPr>
        <w:t xml:space="preserve">miliona </w:t>
      </w:r>
      <w:r w:rsidRPr="00E70BF3">
        <w:rPr>
          <w:rFonts w:eastAsia="Times New Roman" w:cstheme="minorHAnsi"/>
          <w:lang w:eastAsia="hr-BA"/>
        </w:rPr>
        <w:t>KM</w:t>
      </w:r>
    </w:p>
    <w:p w:rsidR="00EC3C87" w:rsidRPr="00E70BF3" w:rsidRDefault="00EC3C87" w:rsidP="00EC3C87">
      <w:pPr>
        <w:numPr>
          <w:ilvl w:val="0"/>
          <w:numId w:val="23"/>
        </w:numPr>
        <w:spacing w:before="100" w:beforeAutospacing="1" w:after="100" w:afterAutospacing="1" w:line="240" w:lineRule="auto"/>
        <w:rPr>
          <w:rFonts w:eastAsia="Times New Roman" w:cstheme="minorHAnsi"/>
          <w:lang w:eastAsia="hr-BA"/>
        </w:rPr>
      </w:pPr>
      <w:r w:rsidRPr="00E70BF3">
        <w:rPr>
          <w:rFonts w:eastAsia="Times New Roman" w:cstheme="minorHAnsi"/>
          <w:b/>
          <w:bCs/>
          <w:lang w:eastAsia="hr-BA"/>
        </w:rPr>
        <w:t>Godina 2027</w:t>
      </w:r>
      <w:r w:rsidRPr="00E70BF3">
        <w:rPr>
          <w:rFonts w:eastAsia="Times New Roman" w:cstheme="minorHAnsi"/>
          <w:lang w:eastAsia="hr-BA"/>
        </w:rPr>
        <w:t xml:space="preserve">: Amortizacija 2 </w:t>
      </w:r>
      <w:r w:rsidR="006E31C8" w:rsidRPr="00E70BF3">
        <w:rPr>
          <w:rFonts w:eastAsia="Times New Roman" w:cstheme="minorHAnsi"/>
          <w:lang w:eastAsia="hr-BA"/>
        </w:rPr>
        <w:t xml:space="preserve">miliona </w:t>
      </w:r>
      <w:r w:rsidRPr="00E70BF3">
        <w:rPr>
          <w:rFonts w:eastAsia="Times New Roman" w:cstheme="minorHAnsi"/>
          <w:lang w:eastAsia="hr-BA"/>
        </w:rPr>
        <w:t>KM</w:t>
      </w:r>
    </w:p>
    <w:p w:rsidR="00EC3C87" w:rsidRPr="00E70BF3" w:rsidRDefault="00EC3C87" w:rsidP="00EC3C87">
      <w:pPr>
        <w:numPr>
          <w:ilvl w:val="0"/>
          <w:numId w:val="23"/>
        </w:numPr>
        <w:spacing w:before="100" w:beforeAutospacing="1" w:after="100" w:afterAutospacing="1" w:line="240" w:lineRule="auto"/>
        <w:rPr>
          <w:rFonts w:eastAsia="Times New Roman" w:cstheme="minorHAnsi"/>
          <w:lang w:eastAsia="hr-BA"/>
        </w:rPr>
      </w:pPr>
      <w:r w:rsidRPr="00E70BF3">
        <w:rPr>
          <w:rFonts w:eastAsia="Times New Roman" w:cstheme="minorHAnsi"/>
          <w:b/>
          <w:bCs/>
          <w:lang w:eastAsia="hr-BA"/>
        </w:rPr>
        <w:lastRenderedPageBreak/>
        <w:t>Godina 2028</w:t>
      </w:r>
      <w:r w:rsidRPr="00E70BF3">
        <w:rPr>
          <w:rFonts w:eastAsia="Times New Roman" w:cstheme="minorHAnsi"/>
          <w:lang w:eastAsia="hr-BA"/>
        </w:rPr>
        <w:t xml:space="preserve">: Amortizacija 2 </w:t>
      </w:r>
      <w:r w:rsidR="006E31C8" w:rsidRPr="00E70BF3">
        <w:rPr>
          <w:rFonts w:eastAsia="Times New Roman" w:cstheme="minorHAnsi"/>
          <w:lang w:eastAsia="hr-BA"/>
        </w:rPr>
        <w:t xml:space="preserve">miliona </w:t>
      </w:r>
      <w:r w:rsidRPr="00E70BF3">
        <w:rPr>
          <w:rFonts w:eastAsia="Times New Roman" w:cstheme="minorHAnsi"/>
          <w:lang w:eastAsia="hr-BA"/>
        </w:rPr>
        <w:t>KM</w:t>
      </w:r>
    </w:p>
    <w:p w:rsidR="00EC3C87" w:rsidRPr="00E70BF3" w:rsidRDefault="00EC3C87" w:rsidP="00EC3C87">
      <w:pPr>
        <w:numPr>
          <w:ilvl w:val="0"/>
          <w:numId w:val="23"/>
        </w:numPr>
        <w:spacing w:before="100" w:beforeAutospacing="1" w:after="100" w:afterAutospacing="1" w:line="240" w:lineRule="auto"/>
        <w:rPr>
          <w:rFonts w:eastAsia="Times New Roman" w:cstheme="minorHAnsi"/>
          <w:lang w:eastAsia="hr-BA"/>
        </w:rPr>
      </w:pPr>
      <w:r w:rsidRPr="00E70BF3">
        <w:rPr>
          <w:rFonts w:eastAsia="Times New Roman" w:cstheme="minorHAnsi"/>
          <w:b/>
          <w:bCs/>
          <w:lang w:eastAsia="hr-BA"/>
        </w:rPr>
        <w:t>Godina 2029</w:t>
      </w:r>
      <w:r w:rsidRPr="00E70BF3">
        <w:rPr>
          <w:rFonts w:eastAsia="Times New Roman" w:cstheme="minorHAnsi"/>
          <w:lang w:eastAsia="hr-BA"/>
        </w:rPr>
        <w:t xml:space="preserve">: Amortizacija 2 </w:t>
      </w:r>
      <w:r w:rsidR="006E31C8" w:rsidRPr="00E70BF3">
        <w:rPr>
          <w:rFonts w:eastAsia="Times New Roman" w:cstheme="minorHAnsi"/>
          <w:lang w:eastAsia="hr-BA"/>
        </w:rPr>
        <w:t xml:space="preserve">miliona </w:t>
      </w:r>
      <w:r w:rsidRPr="00E70BF3">
        <w:rPr>
          <w:rFonts w:eastAsia="Times New Roman" w:cstheme="minorHAnsi"/>
          <w:lang w:eastAsia="hr-BA"/>
        </w:rPr>
        <w:t>KM</w:t>
      </w:r>
    </w:p>
    <w:p w:rsidR="00EC3C87" w:rsidRPr="00E70BF3" w:rsidRDefault="00EC3C87" w:rsidP="00EC3C87">
      <w:pPr>
        <w:spacing w:before="100" w:beforeAutospacing="1" w:after="100" w:afterAutospacing="1" w:line="240" w:lineRule="auto"/>
        <w:rPr>
          <w:rFonts w:eastAsia="Times New Roman" w:cstheme="minorHAnsi"/>
          <w:lang w:eastAsia="hr-BA"/>
        </w:rPr>
      </w:pPr>
      <w:r w:rsidRPr="00E70BF3">
        <w:rPr>
          <w:rFonts w:eastAsia="Times New Roman" w:cstheme="minorHAnsi"/>
          <w:lang w:eastAsia="hr-BA"/>
        </w:rPr>
        <w:t>Svaka od tih godina imat će dodatne troškove amortizacije koji će smanjiti računovodstvenu dobit, ali neće imati neposredan utjecaj na novčani tok.</w:t>
      </w:r>
    </w:p>
    <w:p w:rsidR="00EC3C87" w:rsidRPr="00E70BF3" w:rsidRDefault="00A00D7B" w:rsidP="00EC3C87">
      <w:pPr>
        <w:spacing w:after="0" w:line="240" w:lineRule="auto"/>
        <w:rPr>
          <w:rFonts w:eastAsia="Times New Roman" w:cstheme="minorHAnsi"/>
          <w:lang w:eastAsia="hr-BA"/>
        </w:rPr>
      </w:pPr>
      <w:r>
        <w:rPr>
          <w:rFonts w:eastAsia="Times New Roman" w:cstheme="minorHAnsi"/>
          <w:lang w:eastAsia="hr-BA"/>
        </w:rPr>
        <w:pict>
          <v:rect id="_x0000_i1034" style="width:0;height:1.5pt" o:hralign="center" o:hrstd="t" o:hr="t" fillcolor="#a0a0a0" stroked="f"/>
        </w:pict>
      </w:r>
    </w:p>
    <w:p w:rsidR="00D8160F" w:rsidRDefault="006E31C8" w:rsidP="00EC3C87">
      <w:pPr>
        <w:spacing w:before="100" w:beforeAutospacing="1" w:after="100" w:afterAutospacing="1" w:line="240" w:lineRule="auto"/>
        <w:outlineLvl w:val="2"/>
        <w:rPr>
          <w:rFonts w:eastAsia="Times New Roman" w:cstheme="minorHAnsi"/>
          <w:b/>
          <w:bCs/>
          <w:lang w:eastAsia="hr-BA"/>
        </w:rPr>
      </w:pPr>
      <w:r w:rsidRPr="00E70BF3">
        <w:rPr>
          <w:rFonts w:eastAsia="Times New Roman" w:cstheme="minorHAnsi"/>
          <w:b/>
          <w:bCs/>
          <w:lang w:eastAsia="hr-BA"/>
        </w:rPr>
        <w:t>1</w:t>
      </w:r>
      <w:r w:rsidR="005B54AD">
        <w:rPr>
          <w:rFonts w:eastAsia="Times New Roman" w:cstheme="minorHAnsi"/>
          <w:b/>
          <w:bCs/>
          <w:lang w:eastAsia="hr-BA"/>
        </w:rPr>
        <w:t>1</w:t>
      </w:r>
      <w:r w:rsidR="00EC3C87" w:rsidRPr="00E70BF3">
        <w:rPr>
          <w:rFonts w:eastAsia="Times New Roman" w:cstheme="minorHAnsi"/>
          <w:b/>
          <w:bCs/>
          <w:lang w:eastAsia="hr-BA"/>
        </w:rPr>
        <w:t xml:space="preserve">. </w:t>
      </w:r>
      <w:r w:rsidR="00D8160F">
        <w:rPr>
          <w:rFonts w:eastAsia="Times New Roman" w:cstheme="minorHAnsi"/>
          <w:b/>
          <w:bCs/>
          <w:lang w:eastAsia="hr-BA"/>
        </w:rPr>
        <w:t>Analiza zaduženosti i održivosti otplate</w:t>
      </w:r>
    </w:p>
    <w:p w:rsidR="00D8160F" w:rsidRDefault="00D8160F" w:rsidP="00EC3C87">
      <w:pPr>
        <w:spacing w:before="100" w:beforeAutospacing="1" w:after="100" w:afterAutospacing="1" w:line="240" w:lineRule="auto"/>
        <w:outlineLvl w:val="2"/>
        <w:rPr>
          <w:rFonts w:eastAsia="Times New Roman" w:cstheme="minorHAnsi"/>
          <w:b/>
          <w:bCs/>
          <w:lang w:eastAsia="hr-BA"/>
        </w:rPr>
      </w:pPr>
      <w:r>
        <w:rPr>
          <w:rFonts w:eastAsia="Times New Roman" w:cstheme="minorHAnsi"/>
          <w:b/>
          <w:bCs/>
          <w:lang w:eastAsia="hr-BA"/>
        </w:rPr>
        <w:t>11.1. Pokazatelji zaduženosti prije i nakon emisije</w:t>
      </w:r>
    </w:p>
    <w:p w:rsidR="00D8160F" w:rsidRPr="00D8160F" w:rsidRDefault="00D8160F" w:rsidP="007A64F4">
      <w:pPr>
        <w:pBdr>
          <w:top w:val="double" w:sz="4" w:space="1" w:color="auto"/>
          <w:left w:val="double" w:sz="4" w:space="4" w:color="auto"/>
          <w:bottom w:val="double" w:sz="4" w:space="1" w:color="auto"/>
          <w:right w:val="double" w:sz="4" w:space="0" w:color="auto"/>
        </w:pBdr>
        <w:spacing w:after="0" w:line="240" w:lineRule="auto"/>
        <w:outlineLvl w:val="2"/>
        <w:rPr>
          <w:rFonts w:eastAsia="Times New Roman" w:cstheme="minorHAnsi"/>
          <w:bCs/>
          <w:lang w:eastAsia="hr-BA"/>
        </w:rPr>
      </w:pPr>
      <w:r w:rsidRPr="00D8160F">
        <w:rPr>
          <w:rFonts w:eastAsia="Times New Roman" w:cstheme="minorHAnsi"/>
          <w:bCs/>
          <w:lang w:eastAsia="hr-BA"/>
        </w:rPr>
        <w:t>Godina</w:t>
      </w:r>
      <w:r w:rsidRPr="00D8160F">
        <w:rPr>
          <w:rFonts w:eastAsia="Times New Roman" w:cstheme="minorHAnsi"/>
          <w:bCs/>
          <w:lang w:eastAsia="hr-BA"/>
        </w:rPr>
        <w:tab/>
      </w:r>
      <w:r>
        <w:rPr>
          <w:rFonts w:eastAsia="Times New Roman" w:cstheme="minorHAnsi"/>
          <w:bCs/>
          <w:lang w:eastAsia="hr-BA"/>
        </w:rPr>
        <w:tab/>
      </w:r>
      <w:r w:rsidRPr="00D8160F">
        <w:rPr>
          <w:rFonts w:eastAsia="Times New Roman" w:cstheme="minorHAnsi"/>
          <w:bCs/>
          <w:lang w:eastAsia="hr-BA"/>
        </w:rPr>
        <w:t>EBITDA (KM)</w:t>
      </w:r>
      <w:r w:rsidRPr="00D8160F">
        <w:rPr>
          <w:rFonts w:eastAsia="Times New Roman" w:cstheme="minorHAnsi"/>
          <w:bCs/>
          <w:lang w:eastAsia="hr-BA"/>
        </w:rPr>
        <w:tab/>
      </w:r>
      <w:r>
        <w:rPr>
          <w:rFonts w:eastAsia="Times New Roman" w:cstheme="minorHAnsi"/>
          <w:bCs/>
          <w:lang w:eastAsia="hr-BA"/>
        </w:rPr>
        <w:tab/>
      </w:r>
      <w:r w:rsidRPr="00D8160F">
        <w:rPr>
          <w:rFonts w:eastAsia="Times New Roman" w:cstheme="minorHAnsi"/>
          <w:bCs/>
          <w:lang w:eastAsia="hr-BA"/>
        </w:rPr>
        <w:t>EBITDA %</w:t>
      </w:r>
      <w:r w:rsidRPr="00D8160F">
        <w:rPr>
          <w:rFonts w:eastAsia="Times New Roman" w:cstheme="minorHAnsi"/>
          <w:bCs/>
          <w:lang w:eastAsia="hr-BA"/>
        </w:rPr>
        <w:tab/>
        <w:t>Kamatni trošak (KM)</w:t>
      </w:r>
      <w:r w:rsidRPr="00D8160F">
        <w:rPr>
          <w:rFonts w:eastAsia="Times New Roman" w:cstheme="minorHAnsi"/>
          <w:bCs/>
          <w:lang w:eastAsia="hr-BA"/>
        </w:rPr>
        <w:tab/>
        <w:t>EBITDA / Interest</w:t>
      </w:r>
    </w:p>
    <w:p w:rsidR="00D8160F" w:rsidRPr="00D8160F" w:rsidRDefault="00D8160F" w:rsidP="007A64F4">
      <w:pPr>
        <w:pBdr>
          <w:top w:val="double" w:sz="4" w:space="1" w:color="auto"/>
          <w:left w:val="double" w:sz="4" w:space="4" w:color="auto"/>
          <w:bottom w:val="double" w:sz="4" w:space="1" w:color="auto"/>
          <w:right w:val="double" w:sz="4" w:space="0" w:color="auto"/>
        </w:pBdr>
        <w:spacing w:after="0" w:line="240" w:lineRule="auto"/>
        <w:outlineLvl w:val="2"/>
        <w:rPr>
          <w:rFonts w:eastAsia="Times New Roman" w:cstheme="minorHAnsi"/>
          <w:bCs/>
          <w:lang w:eastAsia="hr-BA"/>
        </w:rPr>
      </w:pPr>
      <w:r w:rsidRPr="00D8160F">
        <w:rPr>
          <w:rFonts w:eastAsia="Times New Roman" w:cstheme="minorHAnsi"/>
          <w:bCs/>
          <w:lang w:eastAsia="hr-BA"/>
        </w:rPr>
        <w:t>2024</w:t>
      </w:r>
      <w:r w:rsidRPr="00D8160F">
        <w:rPr>
          <w:rFonts w:eastAsia="Times New Roman" w:cstheme="minorHAnsi"/>
          <w:bCs/>
          <w:lang w:eastAsia="hr-BA"/>
        </w:rPr>
        <w:tab/>
      </w:r>
      <w:r>
        <w:rPr>
          <w:rFonts w:eastAsia="Times New Roman" w:cstheme="minorHAnsi"/>
          <w:bCs/>
          <w:lang w:eastAsia="hr-BA"/>
        </w:rPr>
        <w:tab/>
      </w:r>
      <w:r w:rsidRPr="00D8160F">
        <w:rPr>
          <w:rFonts w:eastAsia="Times New Roman" w:cstheme="minorHAnsi"/>
          <w:bCs/>
          <w:lang w:eastAsia="hr-BA"/>
        </w:rPr>
        <w:t>5.494.488</w:t>
      </w:r>
      <w:r w:rsidRPr="00D8160F">
        <w:rPr>
          <w:rFonts w:eastAsia="Times New Roman" w:cstheme="minorHAnsi"/>
          <w:bCs/>
          <w:lang w:eastAsia="hr-BA"/>
        </w:rPr>
        <w:tab/>
      </w:r>
      <w:r>
        <w:rPr>
          <w:rFonts w:eastAsia="Times New Roman" w:cstheme="minorHAnsi"/>
          <w:bCs/>
          <w:lang w:eastAsia="hr-BA"/>
        </w:rPr>
        <w:tab/>
      </w:r>
      <w:r w:rsidRPr="00D8160F">
        <w:rPr>
          <w:rFonts w:eastAsia="Times New Roman" w:cstheme="minorHAnsi"/>
          <w:bCs/>
          <w:lang w:eastAsia="hr-BA"/>
        </w:rPr>
        <w:t>19,13%</w:t>
      </w:r>
      <w:r w:rsidRPr="00D8160F">
        <w:rPr>
          <w:rFonts w:eastAsia="Times New Roman" w:cstheme="minorHAnsi"/>
          <w:bCs/>
          <w:lang w:eastAsia="hr-BA"/>
        </w:rPr>
        <w:tab/>
      </w:r>
      <w:r>
        <w:rPr>
          <w:rFonts w:eastAsia="Times New Roman" w:cstheme="minorHAnsi"/>
          <w:bCs/>
          <w:lang w:eastAsia="hr-BA"/>
        </w:rPr>
        <w:tab/>
      </w:r>
      <w:r w:rsidR="00B37B0A">
        <w:rPr>
          <w:rFonts w:eastAsia="Times New Roman" w:cstheme="minorHAnsi"/>
          <w:bCs/>
          <w:lang w:eastAsia="hr-BA"/>
        </w:rPr>
        <w:tab/>
        <w:t>381.695</w:t>
      </w:r>
      <w:r w:rsidRPr="00D8160F">
        <w:rPr>
          <w:rFonts w:eastAsia="Times New Roman" w:cstheme="minorHAnsi"/>
          <w:bCs/>
          <w:lang w:eastAsia="hr-BA"/>
        </w:rPr>
        <w:tab/>
      </w:r>
      <w:r>
        <w:rPr>
          <w:rFonts w:eastAsia="Times New Roman" w:cstheme="minorHAnsi"/>
          <w:bCs/>
          <w:lang w:eastAsia="hr-BA"/>
        </w:rPr>
        <w:tab/>
      </w:r>
      <w:r w:rsidR="00B37B0A">
        <w:rPr>
          <w:rFonts w:eastAsia="Times New Roman" w:cstheme="minorHAnsi"/>
          <w:bCs/>
          <w:lang w:eastAsia="hr-BA"/>
        </w:rPr>
        <w:t>11,41</w:t>
      </w:r>
      <w:r w:rsidRPr="00D8160F">
        <w:rPr>
          <w:rFonts w:eastAsia="Times New Roman" w:cstheme="minorHAnsi"/>
          <w:bCs/>
          <w:lang w:eastAsia="hr-BA"/>
        </w:rPr>
        <w:t>×</w:t>
      </w:r>
    </w:p>
    <w:p w:rsidR="00D8160F" w:rsidRPr="00D8160F" w:rsidRDefault="00D8160F" w:rsidP="007A64F4">
      <w:pPr>
        <w:pBdr>
          <w:top w:val="double" w:sz="4" w:space="1" w:color="auto"/>
          <w:left w:val="double" w:sz="4" w:space="4" w:color="auto"/>
          <w:bottom w:val="double" w:sz="4" w:space="1" w:color="auto"/>
          <w:right w:val="double" w:sz="4" w:space="0" w:color="auto"/>
        </w:pBdr>
        <w:spacing w:after="0" w:line="240" w:lineRule="auto"/>
        <w:outlineLvl w:val="2"/>
        <w:rPr>
          <w:rFonts w:eastAsia="Times New Roman" w:cstheme="minorHAnsi"/>
          <w:bCs/>
          <w:lang w:eastAsia="hr-BA"/>
        </w:rPr>
      </w:pPr>
      <w:r w:rsidRPr="00D8160F">
        <w:rPr>
          <w:rFonts w:eastAsia="Times New Roman" w:cstheme="minorHAnsi"/>
          <w:bCs/>
          <w:lang w:eastAsia="hr-BA"/>
        </w:rPr>
        <w:t>2025</w:t>
      </w:r>
      <w:r w:rsidRPr="00D8160F">
        <w:rPr>
          <w:rFonts w:eastAsia="Times New Roman" w:cstheme="minorHAnsi"/>
          <w:bCs/>
          <w:lang w:eastAsia="hr-BA"/>
        </w:rPr>
        <w:tab/>
      </w:r>
      <w:r>
        <w:rPr>
          <w:rFonts w:eastAsia="Times New Roman" w:cstheme="minorHAnsi"/>
          <w:bCs/>
          <w:lang w:eastAsia="hr-BA"/>
        </w:rPr>
        <w:tab/>
      </w:r>
      <w:r w:rsidRPr="00D8160F">
        <w:rPr>
          <w:rFonts w:eastAsia="Times New Roman" w:cstheme="minorHAnsi"/>
          <w:bCs/>
          <w:lang w:eastAsia="hr-BA"/>
        </w:rPr>
        <w:t>7.422.020</w:t>
      </w:r>
      <w:r w:rsidRPr="00D8160F">
        <w:rPr>
          <w:rFonts w:eastAsia="Times New Roman" w:cstheme="minorHAnsi"/>
          <w:bCs/>
          <w:lang w:eastAsia="hr-BA"/>
        </w:rPr>
        <w:tab/>
      </w:r>
      <w:r>
        <w:rPr>
          <w:rFonts w:eastAsia="Times New Roman" w:cstheme="minorHAnsi"/>
          <w:bCs/>
          <w:lang w:eastAsia="hr-BA"/>
        </w:rPr>
        <w:tab/>
      </w:r>
      <w:r w:rsidRPr="00D8160F">
        <w:rPr>
          <w:rFonts w:eastAsia="Times New Roman" w:cstheme="minorHAnsi"/>
          <w:bCs/>
          <w:lang w:eastAsia="hr-BA"/>
        </w:rPr>
        <w:t>24,51%</w:t>
      </w:r>
      <w:r w:rsidRPr="00D8160F">
        <w:rPr>
          <w:rFonts w:eastAsia="Times New Roman" w:cstheme="minorHAnsi"/>
          <w:bCs/>
          <w:lang w:eastAsia="hr-BA"/>
        </w:rPr>
        <w:tab/>
      </w:r>
      <w:r>
        <w:rPr>
          <w:rFonts w:eastAsia="Times New Roman" w:cstheme="minorHAnsi"/>
          <w:bCs/>
          <w:lang w:eastAsia="hr-BA"/>
        </w:rPr>
        <w:tab/>
      </w:r>
      <w:r w:rsidR="00B37B0A">
        <w:rPr>
          <w:rFonts w:eastAsia="Times New Roman" w:cstheme="minorHAnsi"/>
          <w:bCs/>
          <w:lang w:eastAsia="hr-BA"/>
        </w:rPr>
        <w:tab/>
        <w:t>2.359.274</w:t>
      </w:r>
      <w:r w:rsidRPr="00D8160F">
        <w:rPr>
          <w:rFonts w:eastAsia="Times New Roman" w:cstheme="minorHAnsi"/>
          <w:bCs/>
          <w:lang w:eastAsia="hr-BA"/>
        </w:rPr>
        <w:tab/>
      </w:r>
      <w:r>
        <w:rPr>
          <w:rFonts w:eastAsia="Times New Roman" w:cstheme="minorHAnsi"/>
          <w:bCs/>
          <w:lang w:eastAsia="hr-BA"/>
        </w:rPr>
        <w:tab/>
      </w:r>
      <w:r w:rsidR="00B37B0A">
        <w:rPr>
          <w:rFonts w:eastAsia="Times New Roman" w:cstheme="minorHAnsi"/>
          <w:bCs/>
          <w:lang w:eastAsia="hr-BA"/>
        </w:rPr>
        <w:t>3,14</w:t>
      </w:r>
      <w:r w:rsidRPr="00D8160F">
        <w:rPr>
          <w:rFonts w:eastAsia="Times New Roman" w:cstheme="minorHAnsi"/>
          <w:bCs/>
          <w:lang w:eastAsia="hr-BA"/>
        </w:rPr>
        <w:t>×</w:t>
      </w:r>
    </w:p>
    <w:p w:rsidR="00D8160F" w:rsidRPr="00D8160F" w:rsidRDefault="00D8160F" w:rsidP="007A64F4">
      <w:pPr>
        <w:pBdr>
          <w:top w:val="double" w:sz="4" w:space="1" w:color="auto"/>
          <w:left w:val="double" w:sz="4" w:space="4" w:color="auto"/>
          <w:bottom w:val="double" w:sz="4" w:space="1" w:color="auto"/>
          <w:right w:val="double" w:sz="4" w:space="0" w:color="auto"/>
        </w:pBdr>
        <w:spacing w:after="0" w:line="240" w:lineRule="auto"/>
        <w:outlineLvl w:val="2"/>
        <w:rPr>
          <w:rFonts w:eastAsia="Times New Roman" w:cstheme="minorHAnsi"/>
          <w:bCs/>
          <w:lang w:eastAsia="hr-BA"/>
        </w:rPr>
      </w:pPr>
      <w:r w:rsidRPr="00D8160F">
        <w:rPr>
          <w:rFonts w:eastAsia="Times New Roman" w:cstheme="minorHAnsi"/>
          <w:bCs/>
          <w:lang w:eastAsia="hr-BA"/>
        </w:rPr>
        <w:t>2026</w:t>
      </w:r>
      <w:r w:rsidRPr="00D8160F">
        <w:rPr>
          <w:rFonts w:eastAsia="Times New Roman" w:cstheme="minorHAnsi"/>
          <w:bCs/>
          <w:lang w:eastAsia="hr-BA"/>
        </w:rPr>
        <w:tab/>
      </w:r>
      <w:r>
        <w:rPr>
          <w:rFonts w:eastAsia="Times New Roman" w:cstheme="minorHAnsi"/>
          <w:bCs/>
          <w:lang w:eastAsia="hr-BA"/>
        </w:rPr>
        <w:tab/>
      </w:r>
      <w:r w:rsidRPr="00D8160F">
        <w:rPr>
          <w:rFonts w:eastAsia="Times New Roman" w:cstheme="minorHAnsi"/>
          <w:bCs/>
          <w:lang w:eastAsia="hr-BA"/>
        </w:rPr>
        <w:t>6.991.185</w:t>
      </w:r>
      <w:r w:rsidRPr="00D8160F">
        <w:rPr>
          <w:rFonts w:eastAsia="Times New Roman" w:cstheme="minorHAnsi"/>
          <w:bCs/>
          <w:lang w:eastAsia="hr-BA"/>
        </w:rPr>
        <w:tab/>
      </w:r>
      <w:r>
        <w:rPr>
          <w:rFonts w:eastAsia="Times New Roman" w:cstheme="minorHAnsi"/>
          <w:bCs/>
          <w:lang w:eastAsia="hr-BA"/>
        </w:rPr>
        <w:tab/>
      </w:r>
      <w:r w:rsidRPr="00D8160F">
        <w:rPr>
          <w:rFonts w:eastAsia="Times New Roman" w:cstheme="minorHAnsi"/>
          <w:bCs/>
          <w:lang w:eastAsia="hr-BA"/>
        </w:rPr>
        <w:t>22,86%</w:t>
      </w:r>
      <w:r w:rsidRPr="00D8160F">
        <w:rPr>
          <w:rFonts w:eastAsia="Times New Roman" w:cstheme="minorHAnsi"/>
          <w:bCs/>
          <w:lang w:eastAsia="hr-BA"/>
        </w:rPr>
        <w:tab/>
      </w:r>
      <w:r>
        <w:rPr>
          <w:rFonts w:eastAsia="Times New Roman" w:cstheme="minorHAnsi"/>
          <w:bCs/>
          <w:lang w:eastAsia="hr-BA"/>
        </w:rPr>
        <w:tab/>
      </w:r>
      <w:r w:rsidR="00B37B0A">
        <w:rPr>
          <w:rFonts w:eastAsia="Times New Roman" w:cstheme="minorHAnsi"/>
          <w:bCs/>
          <w:lang w:eastAsia="hr-BA"/>
        </w:rPr>
        <w:tab/>
        <w:t>3.696.576</w:t>
      </w:r>
      <w:r w:rsidRPr="00D8160F">
        <w:rPr>
          <w:rFonts w:eastAsia="Times New Roman" w:cstheme="minorHAnsi"/>
          <w:bCs/>
          <w:lang w:eastAsia="hr-BA"/>
        </w:rPr>
        <w:tab/>
      </w:r>
      <w:r>
        <w:rPr>
          <w:rFonts w:eastAsia="Times New Roman" w:cstheme="minorHAnsi"/>
          <w:bCs/>
          <w:lang w:eastAsia="hr-BA"/>
        </w:rPr>
        <w:tab/>
      </w:r>
      <w:r w:rsidRPr="00D8160F">
        <w:rPr>
          <w:rFonts w:eastAsia="Times New Roman" w:cstheme="minorHAnsi"/>
          <w:bCs/>
          <w:lang w:eastAsia="hr-BA"/>
        </w:rPr>
        <w:t>1,89×</w:t>
      </w:r>
    </w:p>
    <w:p w:rsidR="00D8160F" w:rsidRPr="00D8160F" w:rsidRDefault="00D8160F" w:rsidP="007A64F4">
      <w:pPr>
        <w:pBdr>
          <w:top w:val="double" w:sz="4" w:space="1" w:color="auto"/>
          <w:left w:val="double" w:sz="4" w:space="4" w:color="auto"/>
          <w:bottom w:val="double" w:sz="4" w:space="1" w:color="auto"/>
          <w:right w:val="double" w:sz="4" w:space="0" w:color="auto"/>
        </w:pBdr>
        <w:spacing w:after="0" w:line="240" w:lineRule="auto"/>
        <w:outlineLvl w:val="2"/>
        <w:rPr>
          <w:rFonts w:eastAsia="Times New Roman" w:cstheme="minorHAnsi"/>
          <w:bCs/>
          <w:lang w:eastAsia="hr-BA"/>
        </w:rPr>
      </w:pPr>
      <w:r w:rsidRPr="00D8160F">
        <w:rPr>
          <w:rFonts w:eastAsia="Times New Roman" w:cstheme="minorHAnsi"/>
          <w:bCs/>
          <w:lang w:eastAsia="hr-BA"/>
        </w:rPr>
        <w:t>2027</w:t>
      </w:r>
      <w:r w:rsidRPr="00D8160F">
        <w:rPr>
          <w:rFonts w:eastAsia="Times New Roman" w:cstheme="minorHAnsi"/>
          <w:bCs/>
          <w:lang w:eastAsia="hr-BA"/>
        </w:rPr>
        <w:tab/>
      </w:r>
      <w:r>
        <w:rPr>
          <w:rFonts w:eastAsia="Times New Roman" w:cstheme="minorHAnsi"/>
          <w:bCs/>
          <w:lang w:eastAsia="hr-BA"/>
        </w:rPr>
        <w:tab/>
      </w:r>
      <w:r w:rsidRPr="00D8160F">
        <w:rPr>
          <w:rFonts w:eastAsia="Times New Roman" w:cstheme="minorHAnsi"/>
          <w:bCs/>
          <w:lang w:eastAsia="hr-BA"/>
        </w:rPr>
        <w:t>7.127.709</w:t>
      </w:r>
      <w:r w:rsidRPr="00D8160F">
        <w:rPr>
          <w:rFonts w:eastAsia="Times New Roman" w:cstheme="minorHAnsi"/>
          <w:bCs/>
          <w:lang w:eastAsia="hr-BA"/>
        </w:rPr>
        <w:tab/>
      </w:r>
      <w:r>
        <w:rPr>
          <w:rFonts w:eastAsia="Times New Roman" w:cstheme="minorHAnsi"/>
          <w:bCs/>
          <w:lang w:eastAsia="hr-BA"/>
        </w:rPr>
        <w:tab/>
      </w:r>
      <w:r w:rsidRPr="00D8160F">
        <w:rPr>
          <w:rFonts w:eastAsia="Times New Roman" w:cstheme="minorHAnsi"/>
          <w:bCs/>
          <w:lang w:eastAsia="hr-BA"/>
        </w:rPr>
        <w:t>23,05%</w:t>
      </w:r>
      <w:r w:rsidRPr="00D8160F">
        <w:rPr>
          <w:rFonts w:eastAsia="Times New Roman" w:cstheme="minorHAnsi"/>
          <w:bCs/>
          <w:lang w:eastAsia="hr-BA"/>
        </w:rPr>
        <w:tab/>
      </w:r>
      <w:r>
        <w:rPr>
          <w:rFonts w:eastAsia="Times New Roman" w:cstheme="minorHAnsi"/>
          <w:bCs/>
          <w:lang w:eastAsia="hr-BA"/>
        </w:rPr>
        <w:tab/>
      </w:r>
      <w:r w:rsidR="00B37B0A">
        <w:rPr>
          <w:rFonts w:eastAsia="Times New Roman" w:cstheme="minorHAnsi"/>
          <w:bCs/>
          <w:lang w:eastAsia="hr-BA"/>
        </w:rPr>
        <w:tab/>
      </w:r>
      <w:r w:rsidRPr="00D8160F">
        <w:rPr>
          <w:rFonts w:eastAsia="Times New Roman" w:cstheme="minorHAnsi"/>
          <w:bCs/>
          <w:lang w:eastAsia="hr-BA"/>
        </w:rPr>
        <w:t>967.1</w:t>
      </w:r>
      <w:r w:rsidR="00B37B0A">
        <w:rPr>
          <w:rFonts w:eastAsia="Times New Roman" w:cstheme="minorHAnsi"/>
          <w:bCs/>
          <w:lang w:eastAsia="hr-BA"/>
        </w:rPr>
        <w:t>12</w:t>
      </w:r>
      <w:r w:rsidRPr="00D8160F">
        <w:rPr>
          <w:rFonts w:eastAsia="Times New Roman" w:cstheme="minorHAnsi"/>
          <w:bCs/>
          <w:lang w:eastAsia="hr-BA"/>
        </w:rPr>
        <w:tab/>
      </w:r>
      <w:r>
        <w:rPr>
          <w:rFonts w:eastAsia="Times New Roman" w:cstheme="minorHAnsi"/>
          <w:bCs/>
          <w:lang w:eastAsia="hr-BA"/>
        </w:rPr>
        <w:tab/>
      </w:r>
      <w:r w:rsidRPr="00D8160F">
        <w:rPr>
          <w:rFonts w:eastAsia="Times New Roman" w:cstheme="minorHAnsi"/>
          <w:bCs/>
          <w:lang w:eastAsia="hr-BA"/>
        </w:rPr>
        <w:t>7,3</w:t>
      </w:r>
      <w:r w:rsidR="00B37B0A">
        <w:rPr>
          <w:rFonts w:eastAsia="Times New Roman" w:cstheme="minorHAnsi"/>
          <w:bCs/>
          <w:lang w:eastAsia="hr-BA"/>
        </w:rPr>
        <w:t>8</w:t>
      </w:r>
      <w:r w:rsidRPr="00D8160F">
        <w:rPr>
          <w:rFonts w:eastAsia="Times New Roman" w:cstheme="minorHAnsi"/>
          <w:bCs/>
          <w:lang w:eastAsia="hr-BA"/>
        </w:rPr>
        <w:t>×</w:t>
      </w:r>
    </w:p>
    <w:p w:rsidR="00D8160F" w:rsidRPr="00D8160F" w:rsidRDefault="00D8160F" w:rsidP="007A64F4">
      <w:pPr>
        <w:pBdr>
          <w:top w:val="double" w:sz="4" w:space="1" w:color="auto"/>
          <w:left w:val="double" w:sz="4" w:space="4" w:color="auto"/>
          <w:bottom w:val="double" w:sz="4" w:space="1" w:color="auto"/>
          <w:right w:val="double" w:sz="4" w:space="0" w:color="auto"/>
        </w:pBdr>
        <w:spacing w:after="0" w:line="240" w:lineRule="auto"/>
        <w:outlineLvl w:val="2"/>
        <w:rPr>
          <w:rFonts w:eastAsia="Times New Roman" w:cstheme="minorHAnsi"/>
          <w:bCs/>
          <w:lang w:eastAsia="hr-BA"/>
        </w:rPr>
      </w:pPr>
      <w:r w:rsidRPr="00D8160F">
        <w:rPr>
          <w:rFonts w:eastAsia="Times New Roman" w:cstheme="minorHAnsi"/>
          <w:bCs/>
          <w:lang w:eastAsia="hr-BA"/>
        </w:rPr>
        <w:t>2028</w:t>
      </w:r>
      <w:r w:rsidRPr="00D8160F">
        <w:rPr>
          <w:rFonts w:eastAsia="Times New Roman" w:cstheme="minorHAnsi"/>
          <w:bCs/>
          <w:lang w:eastAsia="hr-BA"/>
        </w:rPr>
        <w:tab/>
      </w:r>
      <w:r>
        <w:rPr>
          <w:rFonts w:eastAsia="Times New Roman" w:cstheme="minorHAnsi"/>
          <w:bCs/>
          <w:lang w:eastAsia="hr-BA"/>
        </w:rPr>
        <w:tab/>
      </w:r>
      <w:r w:rsidRPr="00D8160F">
        <w:rPr>
          <w:rFonts w:eastAsia="Times New Roman" w:cstheme="minorHAnsi"/>
          <w:bCs/>
          <w:lang w:eastAsia="hr-BA"/>
        </w:rPr>
        <w:t>7.717.538</w:t>
      </w:r>
      <w:r w:rsidRPr="00D8160F">
        <w:rPr>
          <w:rFonts w:eastAsia="Times New Roman" w:cstheme="minorHAnsi"/>
          <w:bCs/>
          <w:lang w:eastAsia="hr-BA"/>
        </w:rPr>
        <w:tab/>
      </w:r>
      <w:r>
        <w:rPr>
          <w:rFonts w:eastAsia="Times New Roman" w:cstheme="minorHAnsi"/>
          <w:bCs/>
          <w:lang w:eastAsia="hr-BA"/>
        </w:rPr>
        <w:tab/>
      </w:r>
      <w:r w:rsidRPr="00D8160F">
        <w:rPr>
          <w:rFonts w:eastAsia="Times New Roman" w:cstheme="minorHAnsi"/>
          <w:bCs/>
          <w:lang w:eastAsia="hr-BA"/>
        </w:rPr>
        <w:t>24,70%</w:t>
      </w:r>
      <w:r w:rsidRPr="00D8160F">
        <w:rPr>
          <w:rFonts w:eastAsia="Times New Roman" w:cstheme="minorHAnsi"/>
          <w:bCs/>
          <w:lang w:eastAsia="hr-BA"/>
        </w:rPr>
        <w:tab/>
      </w:r>
      <w:r>
        <w:rPr>
          <w:rFonts w:eastAsia="Times New Roman" w:cstheme="minorHAnsi"/>
          <w:bCs/>
          <w:lang w:eastAsia="hr-BA"/>
        </w:rPr>
        <w:tab/>
      </w:r>
      <w:r w:rsidR="00B37B0A">
        <w:rPr>
          <w:rFonts w:eastAsia="Times New Roman" w:cstheme="minorHAnsi"/>
          <w:bCs/>
          <w:lang w:eastAsia="hr-BA"/>
        </w:rPr>
        <w:tab/>
      </w:r>
      <w:r w:rsidRPr="00D8160F">
        <w:rPr>
          <w:rFonts w:eastAsia="Times New Roman" w:cstheme="minorHAnsi"/>
          <w:bCs/>
          <w:lang w:eastAsia="hr-BA"/>
        </w:rPr>
        <w:t>961.644</w:t>
      </w:r>
      <w:r w:rsidRPr="00D8160F">
        <w:rPr>
          <w:rFonts w:eastAsia="Times New Roman" w:cstheme="minorHAnsi"/>
          <w:bCs/>
          <w:lang w:eastAsia="hr-BA"/>
        </w:rPr>
        <w:tab/>
      </w:r>
      <w:r>
        <w:rPr>
          <w:rFonts w:eastAsia="Times New Roman" w:cstheme="minorHAnsi"/>
          <w:bCs/>
          <w:lang w:eastAsia="hr-BA"/>
        </w:rPr>
        <w:tab/>
      </w:r>
      <w:r w:rsidRPr="00D8160F">
        <w:rPr>
          <w:rFonts w:eastAsia="Times New Roman" w:cstheme="minorHAnsi"/>
          <w:bCs/>
          <w:lang w:eastAsia="hr-BA"/>
        </w:rPr>
        <w:t>8,03×</w:t>
      </w:r>
    </w:p>
    <w:p w:rsidR="00D8160F" w:rsidRPr="00D8160F" w:rsidRDefault="00D8160F" w:rsidP="007A64F4">
      <w:pPr>
        <w:pBdr>
          <w:top w:val="double" w:sz="4" w:space="1" w:color="auto"/>
          <w:left w:val="double" w:sz="4" w:space="4" w:color="auto"/>
          <w:bottom w:val="double" w:sz="4" w:space="1" w:color="auto"/>
          <w:right w:val="double" w:sz="4" w:space="0" w:color="auto"/>
        </w:pBdr>
        <w:spacing w:after="0" w:line="240" w:lineRule="auto"/>
        <w:outlineLvl w:val="2"/>
        <w:rPr>
          <w:rFonts w:eastAsia="Times New Roman" w:cstheme="minorHAnsi"/>
          <w:bCs/>
          <w:lang w:eastAsia="hr-BA"/>
        </w:rPr>
      </w:pPr>
      <w:r w:rsidRPr="00D8160F">
        <w:rPr>
          <w:rFonts w:eastAsia="Times New Roman" w:cstheme="minorHAnsi"/>
          <w:bCs/>
          <w:lang w:eastAsia="hr-BA"/>
        </w:rPr>
        <w:t>2029</w:t>
      </w:r>
      <w:r w:rsidRPr="00D8160F">
        <w:rPr>
          <w:rFonts w:eastAsia="Times New Roman" w:cstheme="minorHAnsi"/>
          <w:bCs/>
          <w:lang w:eastAsia="hr-BA"/>
        </w:rPr>
        <w:tab/>
      </w:r>
      <w:r>
        <w:rPr>
          <w:rFonts w:eastAsia="Times New Roman" w:cstheme="minorHAnsi"/>
          <w:bCs/>
          <w:lang w:eastAsia="hr-BA"/>
        </w:rPr>
        <w:tab/>
      </w:r>
      <w:r w:rsidRPr="00D8160F">
        <w:rPr>
          <w:rFonts w:eastAsia="Times New Roman" w:cstheme="minorHAnsi"/>
          <w:bCs/>
          <w:lang w:eastAsia="hr-BA"/>
        </w:rPr>
        <w:t>7.840.652</w:t>
      </w:r>
      <w:r w:rsidRPr="00D8160F">
        <w:rPr>
          <w:rFonts w:eastAsia="Times New Roman" w:cstheme="minorHAnsi"/>
          <w:bCs/>
          <w:lang w:eastAsia="hr-BA"/>
        </w:rPr>
        <w:tab/>
      </w:r>
      <w:r>
        <w:rPr>
          <w:rFonts w:eastAsia="Times New Roman" w:cstheme="minorHAnsi"/>
          <w:bCs/>
          <w:lang w:eastAsia="hr-BA"/>
        </w:rPr>
        <w:tab/>
      </w:r>
      <w:r w:rsidRPr="00D8160F">
        <w:rPr>
          <w:rFonts w:eastAsia="Times New Roman" w:cstheme="minorHAnsi"/>
          <w:bCs/>
          <w:lang w:eastAsia="hr-BA"/>
        </w:rPr>
        <w:t>24,84%</w:t>
      </w:r>
      <w:r w:rsidRPr="00D8160F">
        <w:rPr>
          <w:rFonts w:eastAsia="Times New Roman" w:cstheme="minorHAnsi"/>
          <w:bCs/>
          <w:lang w:eastAsia="hr-BA"/>
        </w:rPr>
        <w:tab/>
      </w:r>
      <w:r>
        <w:rPr>
          <w:rFonts w:eastAsia="Times New Roman" w:cstheme="minorHAnsi"/>
          <w:bCs/>
          <w:lang w:eastAsia="hr-BA"/>
        </w:rPr>
        <w:tab/>
      </w:r>
      <w:r w:rsidR="00B37B0A">
        <w:rPr>
          <w:rFonts w:eastAsia="Times New Roman" w:cstheme="minorHAnsi"/>
          <w:bCs/>
          <w:lang w:eastAsia="hr-BA"/>
        </w:rPr>
        <w:tab/>
      </w:r>
      <w:r w:rsidRPr="00D8160F">
        <w:rPr>
          <w:rFonts w:eastAsia="Times New Roman" w:cstheme="minorHAnsi"/>
          <w:bCs/>
          <w:lang w:eastAsia="hr-BA"/>
        </w:rPr>
        <w:t>961.644</w:t>
      </w:r>
      <w:r w:rsidRPr="00D8160F">
        <w:rPr>
          <w:rFonts w:eastAsia="Times New Roman" w:cstheme="minorHAnsi"/>
          <w:bCs/>
          <w:lang w:eastAsia="hr-BA"/>
        </w:rPr>
        <w:tab/>
      </w:r>
      <w:r>
        <w:rPr>
          <w:rFonts w:eastAsia="Times New Roman" w:cstheme="minorHAnsi"/>
          <w:bCs/>
          <w:lang w:eastAsia="hr-BA"/>
        </w:rPr>
        <w:tab/>
      </w:r>
      <w:r w:rsidRPr="00D8160F">
        <w:rPr>
          <w:rFonts w:eastAsia="Times New Roman" w:cstheme="minorHAnsi"/>
          <w:bCs/>
          <w:lang w:eastAsia="hr-BA"/>
        </w:rPr>
        <w:t>8,15×</w:t>
      </w:r>
    </w:p>
    <w:p w:rsidR="00D8160F" w:rsidRPr="00D8160F" w:rsidRDefault="00D8160F" w:rsidP="007A64F4">
      <w:pPr>
        <w:pBdr>
          <w:top w:val="double" w:sz="4" w:space="1" w:color="auto"/>
          <w:left w:val="double" w:sz="4" w:space="4" w:color="auto"/>
          <w:bottom w:val="double" w:sz="4" w:space="1" w:color="auto"/>
          <w:right w:val="double" w:sz="4" w:space="0" w:color="auto"/>
        </w:pBdr>
        <w:spacing w:after="0" w:line="240" w:lineRule="auto"/>
        <w:outlineLvl w:val="2"/>
        <w:rPr>
          <w:rFonts w:eastAsia="Times New Roman" w:cstheme="minorHAnsi"/>
          <w:bCs/>
          <w:lang w:eastAsia="hr-BA"/>
        </w:rPr>
      </w:pPr>
      <w:r w:rsidRPr="00D8160F">
        <w:rPr>
          <w:rFonts w:eastAsia="Times New Roman" w:cstheme="minorHAnsi"/>
          <w:bCs/>
          <w:lang w:eastAsia="hr-BA"/>
        </w:rPr>
        <w:t>2030</w:t>
      </w:r>
      <w:r w:rsidRPr="00D8160F">
        <w:rPr>
          <w:rFonts w:eastAsia="Times New Roman" w:cstheme="minorHAnsi"/>
          <w:bCs/>
          <w:lang w:eastAsia="hr-BA"/>
        </w:rPr>
        <w:tab/>
      </w:r>
      <w:r>
        <w:rPr>
          <w:rFonts w:eastAsia="Times New Roman" w:cstheme="minorHAnsi"/>
          <w:bCs/>
          <w:lang w:eastAsia="hr-BA"/>
        </w:rPr>
        <w:tab/>
      </w:r>
      <w:r w:rsidRPr="00D8160F">
        <w:rPr>
          <w:rFonts w:eastAsia="Times New Roman" w:cstheme="minorHAnsi"/>
          <w:bCs/>
          <w:lang w:eastAsia="hr-BA"/>
        </w:rPr>
        <w:t>8.465.443</w:t>
      </w:r>
      <w:r w:rsidRPr="00D8160F">
        <w:rPr>
          <w:rFonts w:eastAsia="Times New Roman" w:cstheme="minorHAnsi"/>
          <w:bCs/>
          <w:lang w:eastAsia="hr-BA"/>
        </w:rPr>
        <w:tab/>
      </w:r>
      <w:r>
        <w:rPr>
          <w:rFonts w:eastAsia="Times New Roman" w:cstheme="minorHAnsi"/>
          <w:bCs/>
          <w:lang w:eastAsia="hr-BA"/>
        </w:rPr>
        <w:tab/>
      </w:r>
      <w:r w:rsidRPr="00D8160F">
        <w:rPr>
          <w:rFonts w:eastAsia="Times New Roman" w:cstheme="minorHAnsi"/>
          <w:bCs/>
          <w:lang w:eastAsia="hr-BA"/>
        </w:rPr>
        <w:t>26,55%</w:t>
      </w:r>
      <w:r w:rsidRPr="00D8160F">
        <w:rPr>
          <w:rFonts w:eastAsia="Times New Roman" w:cstheme="minorHAnsi"/>
          <w:bCs/>
          <w:lang w:eastAsia="hr-BA"/>
        </w:rPr>
        <w:tab/>
      </w:r>
      <w:r>
        <w:rPr>
          <w:rFonts w:eastAsia="Times New Roman" w:cstheme="minorHAnsi"/>
          <w:bCs/>
          <w:lang w:eastAsia="hr-BA"/>
        </w:rPr>
        <w:tab/>
      </w:r>
      <w:r w:rsidR="00B37B0A">
        <w:rPr>
          <w:rFonts w:eastAsia="Times New Roman" w:cstheme="minorHAnsi"/>
          <w:bCs/>
          <w:lang w:eastAsia="hr-BA"/>
        </w:rPr>
        <w:tab/>
      </w:r>
      <w:r w:rsidRPr="00D8160F">
        <w:rPr>
          <w:rFonts w:eastAsia="Times New Roman" w:cstheme="minorHAnsi"/>
          <w:bCs/>
          <w:lang w:eastAsia="hr-BA"/>
        </w:rPr>
        <w:t>400.685</w:t>
      </w:r>
      <w:r w:rsidRPr="00D8160F">
        <w:rPr>
          <w:rFonts w:eastAsia="Times New Roman" w:cstheme="minorHAnsi"/>
          <w:bCs/>
          <w:lang w:eastAsia="hr-BA"/>
        </w:rPr>
        <w:tab/>
      </w:r>
      <w:r>
        <w:rPr>
          <w:rFonts w:eastAsia="Times New Roman" w:cstheme="minorHAnsi"/>
          <w:bCs/>
          <w:lang w:eastAsia="hr-BA"/>
        </w:rPr>
        <w:tab/>
      </w:r>
      <w:r w:rsidRPr="00D8160F">
        <w:rPr>
          <w:rFonts w:eastAsia="Times New Roman" w:cstheme="minorHAnsi"/>
          <w:bCs/>
          <w:lang w:eastAsia="hr-BA"/>
        </w:rPr>
        <w:t>21,12×</w:t>
      </w:r>
    </w:p>
    <w:p w:rsidR="00D8160F" w:rsidRDefault="00B37B0A" w:rsidP="007A64F4">
      <w:pPr>
        <w:spacing w:before="100" w:beforeAutospacing="1" w:after="100" w:afterAutospacing="1" w:line="240" w:lineRule="auto"/>
        <w:jc w:val="both"/>
        <w:outlineLvl w:val="2"/>
      </w:pPr>
      <w:r>
        <w:t xml:space="preserve">Od 2024. do 2030. godine, pokazatelj pokrivenosti kamata (EBITDA / kamatni trošak) ukazuje na vrlo dobru i sve stabilniju sposobnost otplate duga. Početna pokrivenost od 14,41 puta u 2024. godini do 2030. godine kada je pokrivenost na 21,14 puta, jasno pokazuje da </w:t>
      </w:r>
      <w:r w:rsidR="00134D2C">
        <w:t>Sarajevska pivara d.d. Sarajevo</w:t>
      </w:r>
      <w:r>
        <w:t xml:space="preserve"> ima sve veću sposobnost iz operativnog poslovanja servisirati kamate i održati finansijsku stabilnost.</w:t>
      </w:r>
    </w:p>
    <w:p w:rsidR="00B37B0A" w:rsidRDefault="00B37B0A" w:rsidP="007A64F4">
      <w:pPr>
        <w:spacing w:before="100" w:beforeAutospacing="1" w:after="100" w:afterAutospacing="1" w:line="240" w:lineRule="auto"/>
        <w:jc w:val="both"/>
        <w:outlineLvl w:val="2"/>
        <w:rPr>
          <w:rFonts w:eastAsia="Times New Roman" w:cstheme="minorHAnsi"/>
          <w:b/>
          <w:bCs/>
          <w:lang w:eastAsia="hr-BA"/>
        </w:rPr>
      </w:pPr>
      <w:r>
        <w:t xml:space="preserve">Emisija obveznica u 2025. godini je dovela do privremenog povećanja zaduženosti i opterećenja po osnovu kamata, što je uočljivo kroz pad pokazatelja pokrivenosti kamata u 2025. i 2026. Međutim, zahvaljujući rastu operativne dobiti (EBITDA) i stabilizaciji troškova kamata, </w:t>
      </w:r>
      <w:r w:rsidR="00134D2C">
        <w:t xml:space="preserve">Sarajevska pivara d.d. Sarajevo </w:t>
      </w:r>
      <w:r>
        <w:t xml:space="preserve">brzo vraća finansijsku snagu, pa se pokazatelji od 2027. nadalje značajno poboljšavaju. To potvrđuje da je </w:t>
      </w:r>
      <w:r>
        <w:rPr>
          <w:rStyle w:val="Strong"/>
        </w:rPr>
        <w:t>emisija bila održiva i dobro pozicionirana u odnosu na poslovni potencijal društva</w:t>
      </w:r>
      <w:r>
        <w:t>.</w:t>
      </w:r>
    </w:p>
    <w:p w:rsidR="00B37B0A" w:rsidRDefault="00B37B0A" w:rsidP="00EC3C87">
      <w:pPr>
        <w:spacing w:before="100" w:beforeAutospacing="1" w:after="100" w:afterAutospacing="1" w:line="240" w:lineRule="auto"/>
        <w:outlineLvl w:val="2"/>
        <w:rPr>
          <w:rFonts w:eastAsia="Times New Roman" w:cstheme="minorHAnsi"/>
          <w:b/>
          <w:bCs/>
          <w:lang w:eastAsia="hr-BA"/>
        </w:rPr>
      </w:pPr>
      <w:r>
        <w:rPr>
          <w:rFonts w:eastAsia="Times New Roman" w:cstheme="minorHAnsi"/>
          <w:b/>
          <w:bCs/>
          <w:lang w:eastAsia="hr-BA"/>
        </w:rPr>
        <w:t>11.2. Procjena kreditne sposobnosti</w:t>
      </w:r>
    </w:p>
    <w:p w:rsidR="00B37B0A" w:rsidRDefault="00B37B0A" w:rsidP="007A64F4">
      <w:pPr>
        <w:spacing w:before="100" w:beforeAutospacing="1" w:after="100" w:afterAutospacing="1" w:line="240" w:lineRule="auto"/>
        <w:jc w:val="both"/>
        <w:outlineLvl w:val="2"/>
      </w:pPr>
      <w:r>
        <w:t xml:space="preserve">S obzirom na solidnu sposobnost pokrivanja kamata, rast EBITDA i stabilnost prihoda, </w:t>
      </w:r>
      <w:r w:rsidR="007A64F4">
        <w:t>Sarajevska pivara d.d. Sarajevo</w:t>
      </w:r>
      <w:r>
        <w:t xml:space="preserve"> ima visoku kreditnu sposobnost, što će joj omogućiti lakši pristup povoljnijim financijskim uvjetima u budućnosti, uključujući niže kamatne stope i veće kreditne limite. Ovo će dodatno poboljšati financijsku fleksibilnost i omogućiti daljnji rast.</w:t>
      </w:r>
    </w:p>
    <w:p w:rsidR="00B37B0A" w:rsidRDefault="00B37B0A" w:rsidP="00EC3C87">
      <w:pPr>
        <w:spacing w:before="100" w:beforeAutospacing="1" w:after="100" w:afterAutospacing="1" w:line="240" w:lineRule="auto"/>
        <w:outlineLvl w:val="2"/>
        <w:rPr>
          <w:rFonts w:eastAsia="Times New Roman" w:cstheme="minorHAnsi"/>
          <w:b/>
          <w:bCs/>
          <w:lang w:eastAsia="hr-BA"/>
        </w:rPr>
      </w:pPr>
      <w:r>
        <w:rPr>
          <w:rFonts w:eastAsia="Times New Roman" w:cstheme="minorHAnsi"/>
          <w:b/>
          <w:bCs/>
          <w:lang w:eastAsia="hr-BA"/>
        </w:rPr>
        <w:t>11.3. Uticaj emisije na finansijsku stabilnost</w:t>
      </w:r>
    </w:p>
    <w:p w:rsidR="00B37B0A" w:rsidRDefault="00B37B0A" w:rsidP="007A64F4">
      <w:pPr>
        <w:spacing w:before="100" w:beforeAutospacing="1" w:after="100" w:afterAutospacing="1" w:line="240" w:lineRule="auto"/>
        <w:jc w:val="both"/>
        <w:outlineLvl w:val="2"/>
        <w:rPr>
          <w:rFonts w:eastAsia="Times New Roman" w:cstheme="minorHAnsi"/>
          <w:b/>
          <w:bCs/>
          <w:lang w:eastAsia="hr-BA"/>
        </w:rPr>
      </w:pPr>
      <w:r>
        <w:t xml:space="preserve">Ukupno gledajući, </w:t>
      </w:r>
      <w:r w:rsidR="007A64F4">
        <w:t>Sarajevska pivara d.d. Sarajevo</w:t>
      </w:r>
      <w:r>
        <w:t xml:space="preserve"> se nalazi na putu stabilnog financijskog rasta. Pozitivni trendovi u prihodima, EBITDA, pokrivenosti kamata i operativnoj efikasnosti ukazuju na dugoročnu održivost duga i financijsku stabilnost. Emisija obveznica </w:t>
      </w:r>
      <w:r w:rsidR="007A64F4">
        <w:t>će</w:t>
      </w:r>
      <w:r>
        <w:t xml:space="preserve"> dodatno osnažiti financijsku poziciju </w:t>
      </w:r>
      <w:r w:rsidR="007A64F4">
        <w:t>kompanije</w:t>
      </w:r>
      <w:r>
        <w:t xml:space="preserve">, omogućujući joj povoljnije uvjete za buduće investicije i rast, uz istovremeno smanjenje kamatnog opterećenja. S obzirom na ove pozitivne pokazatelje, možemo zaključiti da je </w:t>
      </w:r>
      <w:r w:rsidR="007A64F4">
        <w:t>Sarajevska pivara d.d. Sarajevo</w:t>
      </w:r>
      <w:r>
        <w:t xml:space="preserve"> dobro pripremljena za budući uspješan rast i servisiranje svojih finan</w:t>
      </w:r>
      <w:r w:rsidR="007A64F4">
        <w:t>s</w:t>
      </w:r>
      <w:r>
        <w:t>ijskih obveza.</w:t>
      </w:r>
    </w:p>
    <w:p w:rsidR="00D8160F" w:rsidRDefault="00A00D7B" w:rsidP="00EC3C87">
      <w:pPr>
        <w:spacing w:before="100" w:beforeAutospacing="1" w:after="100" w:afterAutospacing="1" w:line="240" w:lineRule="auto"/>
        <w:outlineLvl w:val="2"/>
        <w:rPr>
          <w:rFonts w:eastAsia="Times New Roman" w:cstheme="minorHAnsi"/>
          <w:b/>
          <w:bCs/>
          <w:lang w:eastAsia="hr-BA"/>
        </w:rPr>
      </w:pPr>
      <w:r>
        <w:rPr>
          <w:rFonts w:eastAsia="Times New Roman" w:cstheme="minorHAnsi"/>
          <w:lang w:eastAsia="hr-BA"/>
        </w:rPr>
        <w:pict>
          <v:rect id="_x0000_i1035" style="width:0;height:1.5pt" o:hralign="center" o:hrstd="t" o:hr="t" fillcolor="#a0a0a0" stroked="f"/>
        </w:pict>
      </w:r>
    </w:p>
    <w:p w:rsidR="00EC3C87" w:rsidRPr="00E70BF3" w:rsidRDefault="00B37B0A" w:rsidP="00EC3C87">
      <w:pPr>
        <w:spacing w:before="100" w:beforeAutospacing="1" w:after="100" w:afterAutospacing="1" w:line="240" w:lineRule="auto"/>
        <w:outlineLvl w:val="2"/>
        <w:rPr>
          <w:rFonts w:eastAsia="Times New Roman" w:cstheme="minorHAnsi"/>
          <w:b/>
          <w:bCs/>
          <w:lang w:eastAsia="hr-BA"/>
        </w:rPr>
      </w:pPr>
      <w:r>
        <w:rPr>
          <w:rFonts w:eastAsia="Times New Roman" w:cstheme="minorHAnsi"/>
          <w:b/>
          <w:bCs/>
          <w:lang w:eastAsia="hr-BA"/>
        </w:rPr>
        <w:lastRenderedPageBreak/>
        <w:t xml:space="preserve"> </w:t>
      </w:r>
      <w:bookmarkStart w:id="0" w:name="_GoBack"/>
      <w:bookmarkEnd w:id="0"/>
      <w:r w:rsidR="007A64F4">
        <w:rPr>
          <w:rFonts w:eastAsia="Times New Roman" w:cstheme="minorHAnsi"/>
          <w:b/>
          <w:bCs/>
          <w:lang w:eastAsia="hr-BA"/>
        </w:rPr>
        <w:t xml:space="preserve">12. </w:t>
      </w:r>
      <w:r w:rsidR="00EC3C87" w:rsidRPr="00E70BF3">
        <w:rPr>
          <w:rFonts w:eastAsia="Times New Roman" w:cstheme="minorHAnsi"/>
          <w:b/>
          <w:bCs/>
          <w:lang w:eastAsia="hr-BA"/>
        </w:rPr>
        <w:t>Analiza rizika</w:t>
      </w:r>
    </w:p>
    <w:p w:rsidR="00EC3C87" w:rsidRPr="00E70BF3" w:rsidRDefault="00EC3C87" w:rsidP="007A64F4">
      <w:pPr>
        <w:spacing w:before="100" w:beforeAutospacing="1" w:after="100" w:afterAutospacing="1" w:line="240" w:lineRule="auto"/>
        <w:jc w:val="both"/>
        <w:rPr>
          <w:rFonts w:eastAsia="Times New Roman" w:cstheme="minorHAnsi"/>
          <w:lang w:eastAsia="hr-BA"/>
        </w:rPr>
      </w:pPr>
      <w:r w:rsidRPr="00E70BF3">
        <w:rPr>
          <w:rFonts w:eastAsia="Times New Roman" w:cstheme="minorHAnsi"/>
          <w:lang w:eastAsia="hr-BA"/>
        </w:rPr>
        <w:t xml:space="preserve">Iako je </w:t>
      </w:r>
      <w:r w:rsidR="006E31C8" w:rsidRPr="00E70BF3">
        <w:rPr>
          <w:rFonts w:eastAsia="Times New Roman" w:cstheme="minorHAnsi"/>
          <w:lang w:eastAsia="hr-BA"/>
        </w:rPr>
        <w:t>Sarajevska pivara d.d. Sarajevo</w:t>
      </w:r>
      <w:r w:rsidRPr="00E70BF3">
        <w:rPr>
          <w:rFonts w:eastAsia="Times New Roman" w:cstheme="minorHAnsi"/>
          <w:lang w:eastAsia="hr-BA"/>
        </w:rPr>
        <w:t xml:space="preserve"> stabilna, potrebno je razmotriti nekoliko ključnih rizika i planove za njihovo upravljanje:</w:t>
      </w:r>
    </w:p>
    <w:p w:rsidR="00EC3C87" w:rsidRPr="00E70BF3" w:rsidRDefault="00EC3C87" w:rsidP="007A64F4">
      <w:pPr>
        <w:numPr>
          <w:ilvl w:val="0"/>
          <w:numId w:val="25"/>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Rizik od promjena u potrošačkim preferencijama</w:t>
      </w:r>
      <w:r w:rsidRPr="00E70BF3">
        <w:rPr>
          <w:rFonts w:eastAsia="Times New Roman" w:cstheme="minorHAnsi"/>
          <w:lang w:eastAsia="hr-BA"/>
        </w:rPr>
        <w:t xml:space="preserve">: Tržište pića je podložno promjenama u trendovima, stoga će </w:t>
      </w:r>
      <w:r w:rsidR="00134D2C">
        <w:rPr>
          <w:rFonts w:eastAsia="Times New Roman" w:cstheme="minorHAnsi"/>
          <w:lang w:eastAsia="hr-BA"/>
        </w:rPr>
        <w:t>Sarajevska pivara d.d. Sarajevo</w:t>
      </w:r>
      <w:r w:rsidRPr="00E70BF3">
        <w:rPr>
          <w:rFonts w:eastAsia="Times New Roman" w:cstheme="minorHAnsi"/>
          <w:lang w:eastAsia="hr-BA"/>
        </w:rPr>
        <w:t xml:space="preserve"> ulagati u istraživanje tržišta i razvoj novih proizvoda kako bi zadržala konkurentsku prednost.</w:t>
      </w:r>
    </w:p>
    <w:p w:rsidR="00EC3C87" w:rsidRPr="00E70BF3" w:rsidRDefault="00EC3C87" w:rsidP="007A64F4">
      <w:pPr>
        <w:numPr>
          <w:ilvl w:val="0"/>
          <w:numId w:val="25"/>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Rizik od povećanja cijena sirovina</w:t>
      </w:r>
      <w:r w:rsidRPr="00E70BF3">
        <w:rPr>
          <w:rFonts w:eastAsia="Times New Roman" w:cstheme="minorHAnsi"/>
          <w:lang w:eastAsia="hr-BA"/>
        </w:rPr>
        <w:t>: Neizvjesnost u cijenama ključnih sirovina poput ječma i hmelja može povećati proizvodne troškove. Planira se diversifikacija opskrbnih lanaca i korištenje dugoročnih ugovora za zaštitu od volatilnosti cijena.</w:t>
      </w:r>
    </w:p>
    <w:p w:rsidR="00EC3C87" w:rsidRPr="00E70BF3" w:rsidRDefault="00EC3C87" w:rsidP="007A64F4">
      <w:pPr>
        <w:numPr>
          <w:ilvl w:val="0"/>
          <w:numId w:val="25"/>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Rizik od promjena u regulatornom okruženju</w:t>
      </w:r>
      <w:r w:rsidRPr="00E70BF3">
        <w:rPr>
          <w:rFonts w:eastAsia="Times New Roman" w:cstheme="minorHAnsi"/>
          <w:lang w:eastAsia="hr-BA"/>
        </w:rPr>
        <w:t>: Promjene zakona i regulativa (porezi, ekologija) mogu utjecati na poslovanje.</w:t>
      </w:r>
    </w:p>
    <w:p w:rsidR="00EC3C87" w:rsidRPr="00E70BF3" w:rsidRDefault="00A00D7B" w:rsidP="00EC3C87">
      <w:pPr>
        <w:spacing w:after="0" w:line="240" w:lineRule="auto"/>
        <w:rPr>
          <w:rFonts w:eastAsia="Times New Roman" w:cstheme="minorHAnsi"/>
          <w:lang w:eastAsia="hr-BA"/>
        </w:rPr>
      </w:pPr>
      <w:r>
        <w:rPr>
          <w:rFonts w:eastAsia="Times New Roman" w:cstheme="minorHAnsi"/>
          <w:lang w:eastAsia="hr-BA"/>
        </w:rPr>
        <w:pict>
          <v:rect id="_x0000_i1036" style="width:0;height:1.5pt" o:hralign="center" o:hrstd="t" o:hr="t" fillcolor="#a0a0a0" stroked="f"/>
        </w:pict>
      </w:r>
    </w:p>
    <w:p w:rsidR="00EC3C87" w:rsidRPr="00E70BF3" w:rsidRDefault="006E31C8" w:rsidP="00EC3C87">
      <w:pPr>
        <w:spacing w:before="100" w:beforeAutospacing="1" w:after="100" w:afterAutospacing="1" w:line="240" w:lineRule="auto"/>
        <w:outlineLvl w:val="2"/>
        <w:rPr>
          <w:rFonts w:eastAsia="Times New Roman" w:cstheme="minorHAnsi"/>
          <w:b/>
          <w:bCs/>
          <w:lang w:eastAsia="hr-BA"/>
        </w:rPr>
      </w:pPr>
      <w:r w:rsidRPr="00E70BF3">
        <w:rPr>
          <w:rFonts w:eastAsia="Times New Roman" w:cstheme="minorHAnsi"/>
          <w:b/>
          <w:bCs/>
          <w:lang w:eastAsia="hr-BA"/>
        </w:rPr>
        <w:t>1</w:t>
      </w:r>
      <w:r w:rsidR="00B37B0A">
        <w:rPr>
          <w:rFonts w:eastAsia="Times New Roman" w:cstheme="minorHAnsi"/>
          <w:b/>
          <w:bCs/>
          <w:lang w:eastAsia="hr-BA"/>
        </w:rPr>
        <w:t>3</w:t>
      </w:r>
      <w:r w:rsidR="00EC3C87" w:rsidRPr="00E70BF3">
        <w:rPr>
          <w:rFonts w:eastAsia="Times New Roman" w:cstheme="minorHAnsi"/>
          <w:b/>
          <w:bCs/>
          <w:lang w:eastAsia="hr-BA"/>
        </w:rPr>
        <w:t>. Ključni pokazatelji uspjeha</w:t>
      </w:r>
    </w:p>
    <w:p w:rsidR="00EC3C87" w:rsidRPr="00E70BF3" w:rsidRDefault="00EC3C87" w:rsidP="007A64F4">
      <w:pPr>
        <w:spacing w:before="100" w:beforeAutospacing="1" w:after="100" w:afterAutospacing="1" w:line="240" w:lineRule="auto"/>
        <w:jc w:val="both"/>
        <w:rPr>
          <w:rFonts w:eastAsia="Times New Roman" w:cstheme="minorHAnsi"/>
          <w:lang w:eastAsia="hr-BA"/>
        </w:rPr>
      </w:pPr>
      <w:r w:rsidRPr="00E70BF3">
        <w:rPr>
          <w:rFonts w:eastAsia="Times New Roman" w:cstheme="minorHAnsi"/>
          <w:lang w:eastAsia="hr-BA"/>
        </w:rPr>
        <w:t>Za mjerenje napretka i uspjeha strategije, bit će definirani ključni pokazatelji uspjeha (KPI):</w:t>
      </w:r>
    </w:p>
    <w:p w:rsidR="00EC3C87" w:rsidRPr="007A64F4" w:rsidRDefault="00EC3C87" w:rsidP="007A64F4">
      <w:pPr>
        <w:numPr>
          <w:ilvl w:val="0"/>
          <w:numId w:val="26"/>
        </w:numPr>
        <w:spacing w:before="100" w:beforeAutospacing="1" w:after="100" w:afterAutospacing="1" w:line="240" w:lineRule="auto"/>
        <w:jc w:val="both"/>
        <w:rPr>
          <w:rFonts w:eastAsia="Times New Roman" w:cstheme="minorHAnsi"/>
          <w:color w:val="000000" w:themeColor="text1"/>
          <w:lang w:eastAsia="hr-BA"/>
        </w:rPr>
      </w:pPr>
      <w:r w:rsidRPr="00E70BF3">
        <w:rPr>
          <w:rFonts w:eastAsia="Times New Roman" w:cstheme="minorHAnsi"/>
          <w:b/>
          <w:bCs/>
          <w:lang w:eastAsia="hr-BA"/>
        </w:rPr>
        <w:t>Rast prihoda</w:t>
      </w:r>
      <w:r w:rsidRPr="00E70BF3">
        <w:rPr>
          <w:rFonts w:eastAsia="Times New Roman" w:cstheme="minorHAnsi"/>
          <w:lang w:eastAsia="hr-BA"/>
        </w:rPr>
        <w:t xml:space="preserve">: Očekivani rast prihoda od </w:t>
      </w:r>
      <w:r w:rsidR="00FB1CDC" w:rsidRPr="00E70BF3">
        <w:rPr>
          <w:rFonts w:eastAsia="Times New Roman" w:cstheme="minorHAnsi"/>
          <w:lang w:eastAsia="hr-BA"/>
        </w:rPr>
        <w:t>1-</w:t>
      </w:r>
      <w:r w:rsidR="00896B1F">
        <w:rPr>
          <w:rFonts w:eastAsia="Times New Roman" w:cstheme="minorHAnsi"/>
          <w:lang w:eastAsia="hr-BA"/>
        </w:rPr>
        <w:t>4</w:t>
      </w:r>
      <w:r w:rsidRPr="00E70BF3">
        <w:rPr>
          <w:rFonts w:eastAsia="Times New Roman" w:cstheme="minorHAnsi"/>
          <w:lang w:eastAsia="hr-BA"/>
        </w:rPr>
        <w:t>% godišnje.</w:t>
      </w:r>
      <w:r w:rsidR="00A900DA">
        <w:rPr>
          <w:rFonts w:eastAsia="Times New Roman" w:cstheme="minorHAnsi"/>
          <w:lang w:eastAsia="hr-BA"/>
        </w:rPr>
        <w:t xml:space="preserve"> </w:t>
      </w:r>
      <w:r w:rsidR="00A900DA" w:rsidRPr="007A64F4">
        <w:rPr>
          <w:rFonts w:eastAsia="Times New Roman" w:cstheme="minorHAnsi"/>
          <w:color w:val="000000" w:themeColor="text1"/>
          <w:lang w:eastAsia="hr-BA"/>
        </w:rPr>
        <w:t xml:space="preserve">(2025 4 % 2026-2034 1% ) </w:t>
      </w:r>
    </w:p>
    <w:p w:rsidR="00EC3C87" w:rsidRPr="007A64F4" w:rsidRDefault="00EC3C87" w:rsidP="007A64F4">
      <w:pPr>
        <w:numPr>
          <w:ilvl w:val="0"/>
          <w:numId w:val="26"/>
        </w:numPr>
        <w:spacing w:before="100" w:beforeAutospacing="1" w:after="100" w:afterAutospacing="1" w:line="240" w:lineRule="auto"/>
        <w:jc w:val="both"/>
        <w:rPr>
          <w:rFonts w:eastAsia="Times New Roman" w:cstheme="minorHAnsi"/>
          <w:color w:val="000000" w:themeColor="text1"/>
          <w:lang w:eastAsia="hr-BA"/>
        </w:rPr>
      </w:pPr>
      <w:r w:rsidRPr="007A64F4">
        <w:rPr>
          <w:rFonts w:eastAsia="Times New Roman" w:cstheme="minorHAnsi"/>
          <w:b/>
          <w:bCs/>
          <w:color w:val="000000" w:themeColor="text1"/>
          <w:lang w:eastAsia="hr-BA"/>
        </w:rPr>
        <w:t>Povećanje tržišnog udjela</w:t>
      </w:r>
      <w:r w:rsidRPr="007A64F4">
        <w:rPr>
          <w:rFonts w:eastAsia="Times New Roman" w:cstheme="minorHAnsi"/>
          <w:color w:val="000000" w:themeColor="text1"/>
          <w:lang w:eastAsia="hr-BA"/>
        </w:rPr>
        <w:t xml:space="preserve">: Osvojiti </w:t>
      </w:r>
      <w:r w:rsidR="006E31C8" w:rsidRPr="007A64F4">
        <w:rPr>
          <w:rFonts w:eastAsia="Times New Roman" w:cstheme="minorHAnsi"/>
          <w:color w:val="000000" w:themeColor="text1"/>
          <w:lang w:eastAsia="hr-BA"/>
        </w:rPr>
        <w:t>10</w:t>
      </w:r>
      <w:r w:rsidRPr="007A64F4">
        <w:rPr>
          <w:rFonts w:eastAsia="Times New Roman" w:cstheme="minorHAnsi"/>
          <w:color w:val="000000" w:themeColor="text1"/>
          <w:lang w:eastAsia="hr-BA"/>
        </w:rPr>
        <w:t>-</w:t>
      </w:r>
      <w:r w:rsidR="006E31C8" w:rsidRPr="007A64F4">
        <w:rPr>
          <w:rFonts w:eastAsia="Times New Roman" w:cstheme="minorHAnsi"/>
          <w:color w:val="000000" w:themeColor="text1"/>
          <w:lang w:eastAsia="hr-BA"/>
        </w:rPr>
        <w:t>20</w:t>
      </w:r>
      <w:r w:rsidRPr="007A64F4">
        <w:rPr>
          <w:rFonts w:eastAsia="Times New Roman" w:cstheme="minorHAnsi"/>
          <w:color w:val="000000" w:themeColor="text1"/>
          <w:lang w:eastAsia="hr-BA"/>
        </w:rPr>
        <w:t xml:space="preserve">% tržišta u regiji i </w:t>
      </w:r>
      <w:r w:rsidR="006E31C8" w:rsidRPr="007A64F4">
        <w:rPr>
          <w:rFonts w:eastAsia="Times New Roman" w:cstheme="minorHAnsi"/>
          <w:color w:val="000000" w:themeColor="text1"/>
          <w:lang w:eastAsia="hr-BA"/>
        </w:rPr>
        <w:t>5</w:t>
      </w:r>
      <w:r w:rsidRPr="007A64F4">
        <w:rPr>
          <w:rFonts w:eastAsia="Times New Roman" w:cstheme="minorHAnsi"/>
          <w:color w:val="000000" w:themeColor="text1"/>
          <w:lang w:eastAsia="hr-BA"/>
        </w:rPr>
        <w:t>-</w:t>
      </w:r>
      <w:r w:rsidR="006E31C8" w:rsidRPr="007A64F4">
        <w:rPr>
          <w:rFonts w:eastAsia="Times New Roman" w:cstheme="minorHAnsi"/>
          <w:color w:val="000000" w:themeColor="text1"/>
          <w:lang w:eastAsia="hr-BA"/>
        </w:rPr>
        <w:t>10</w:t>
      </w:r>
      <w:r w:rsidRPr="007A64F4">
        <w:rPr>
          <w:rFonts w:eastAsia="Times New Roman" w:cstheme="minorHAnsi"/>
          <w:color w:val="000000" w:themeColor="text1"/>
          <w:lang w:eastAsia="hr-BA"/>
        </w:rPr>
        <w:t>% na međunarodnim tržištima.</w:t>
      </w:r>
    </w:p>
    <w:p w:rsidR="00EC3C87" w:rsidRPr="00E70BF3" w:rsidRDefault="00EC3C87" w:rsidP="007A64F4">
      <w:pPr>
        <w:numPr>
          <w:ilvl w:val="0"/>
          <w:numId w:val="26"/>
        </w:numPr>
        <w:spacing w:before="100" w:beforeAutospacing="1" w:after="100" w:afterAutospacing="1" w:line="240" w:lineRule="auto"/>
        <w:jc w:val="both"/>
        <w:rPr>
          <w:rFonts w:eastAsia="Times New Roman" w:cstheme="minorHAnsi"/>
          <w:lang w:eastAsia="hr-BA"/>
        </w:rPr>
      </w:pPr>
      <w:r w:rsidRPr="007A64F4">
        <w:rPr>
          <w:rFonts w:eastAsia="Times New Roman" w:cstheme="minorHAnsi"/>
          <w:b/>
          <w:bCs/>
          <w:color w:val="000000" w:themeColor="text1"/>
          <w:lang w:eastAsia="hr-BA"/>
        </w:rPr>
        <w:t>Profitabilnost</w:t>
      </w:r>
      <w:r w:rsidRPr="007A64F4">
        <w:rPr>
          <w:rFonts w:eastAsia="Times New Roman" w:cstheme="minorHAnsi"/>
          <w:color w:val="000000" w:themeColor="text1"/>
          <w:lang w:eastAsia="hr-BA"/>
        </w:rPr>
        <w:t xml:space="preserve">: Održavanje </w:t>
      </w:r>
      <w:r w:rsidR="00896B1F" w:rsidRPr="007A64F4">
        <w:rPr>
          <w:rFonts w:eastAsia="Times New Roman" w:cstheme="minorHAnsi"/>
          <w:color w:val="000000" w:themeColor="text1"/>
          <w:lang w:eastAsia="hr-BA"/>
        </w:rPr>
        <w:t>bruto</w:t>
      </w:r>
      <w:r w:rsidRPr="007A64F4">
        <w:rPr>
          <w:rFonts w:eastAsia="Times New Roman" w:cstheme="minorHAnsi"/>
          <w:color w:val="000000" w:themeColor="text1"/>
          <w:lang w:eastAsia="hr-BA"/>
        </w:rPr>
        <w:t xml:space="preserve"> profitne marže od najmanje </w:t>
      </w:r>
      <w:r w:rsidR="00A900DA" w:rsidRPr="007A64F4">
        <w:rPr>
          <w:rFonts w:eastAsia="Times New Roman" w:cstheme="minorHAnsi"/>
          <w:color w:val="000000" w:themeColor="text1"/>
          <w:lang w:eastAsia="hr-BA"/>
        </w:rPr>
        <w:t>6</w:t>
      </w:r>
      <w:r w:rsidRPr="007A64F4">
        <w:rPr>
          <w:rFonts w:eastAsia="Times New Roman" w:cstheme="minorHAnsi"/>
          <w:color w:val="000000" w:themeColor="text1"/>
          <w:lang w:eastAsia="hr-BA"/>
        </w:rPr>
        <w:t xml:space="preserve">0% kroz cijelo </w:t>
      </w:r>
      <w:r w:rsidRPr="00E70BF3">
        <w:rPr>
          <w:rFonts w:eastAsia="Times New Roman" w:cstheme="minorHAnsi"/>
          <w:lang w:eastAsia="hr-BA"/>
        </w:rPr>
        <w:t>razdoblje.</w:t>
      </w:r>
    </w:p>
    <w:p w:rsidR="00EC3C87" w:rsidRPr="00E70BF3" w:rsidRDefault="00EC3C87" w:rsidP="007A64F4">
      <w:pPr>
        <w:numPr>
          <w:ilvl w:val="0"/>
          <w:numId w:val="26"/>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Održiva likvidnost</w:t>
      </w:r>
      <w:r w:rsidRPr="00E70BF3">
        <w:rPr>
          <w:rFonts w:eastAsia="Times New Roman" w:cstheme="minorHAnsi"/>
          <w:lang w:eastAsia="hr-BA"/>
        </w:rPr>
        <w:t>: Omjer kratkoročnih obveza i novčanog toka ne smije prelaziti 1:1.</w:t>
      </w:r>
    </w:p>
    <w:p w:rsidR="00EC3C87" w:rsidRPr="00E70BF3" w:rsidRDefault="00EC3C87" w:rsidP="007A64F4">
      <w:pPr>
        <w:numPr>
          <w:ilvl w:val="0"/>
          <w:numId w:val="26"/>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Ulaganja u inovacije</w:t>
      </w:r>
      <w:r w:rsidRPr="00E70BF3">
        <w:rPr>
          <w:rFonts w:eastAsia="Times New Roman" w:cstheme="minorHAnsi"/>
          <w:lang w:eastAsia="hr-BA"/>
        </w:rPr>
        <w:t xml:space="preserve">: Iznos ulaganja u istraživanje i razvoj mora biti najmanje </w:t>
      </w:r>
      <w:r w:rsidR="00E70BF3" w:rsidRPr="00E70BF3">
        <w:rPr>
          <w:rFonts w:eastAsia="Times New Roman" w:cstheme="minorHAnsi"/>
          <w:lang w:eastAsia="hr-BA"/>
        </w:rPr>
        <w:t>2</w:t>
      </w:r>
      <w:r w:rsidRPr="00E70BF3">
        <w:rPr>
          <w:rFonts w:eastAsia="Times New Roman" w:cstheme="minorHAnsi"/>
          <w:lang w:eastAsia="hr-BA"/>
        </w:rPr>
        <w:t>% ukupnih prihoda.</w:t>
      </w:r>
    </w:p>
    <w:p w:rsidR="006E31C8" w:rsidRPr="00E70BF3" w:rsidRDefault="00A00D7B" w:rsidP="006E31C8">
      <w:pPr>
        <w:spacing w:after="0" w:line="240" w:lineRule="auto"/>
        <w:rPr>
          <w:rFonts w:eastAsia="Times New Roman" w:cstheme="minorHAnsi"/>
          <w:lang w:eastAsia="hr-BA"/>
        </w:rPr>
      </w:pPr>
      <w:r>
        <w:rPr>
          <w:rFonts w:eastAsia="Times New Roman" w:cstheme="minorHAnsi"/>
          <w:lang w:eastAsia="hr-BA"/>
        </w:rPr>
        <w:pict>
          <v:rect id="_x0000_i1037" style="width:0;height:1.5pt" o:hralign="center" o:hrstd="t" o:hr="t" fillcolor="#a0a0a0" stroked="f"/>
        </w:pict>
      </w:r>
    </w:p>
    <w:p w:rsidR="00EC3C87" w:rsidRPr="00E70BF3" w:rsidRDefault="006E31C8" w:rsidP="00EC3C87">
      <w:pPr>
        <w:spacing w:before="100" w:beforeAutospacing="1" w:after="100" w:afterAutospacing="1" w:line="240" w:lineRule="auto"/>
        <w:outlineLvl w:val="2"/>
        <w:rPr>
          <w:rFonts w:eastAsia="Times New Roman" w:cstheme="minorHAnsi"/>
          <w:b/>
          <w:bCs/>
          <w:lang w:eastAsia="hr-BA"/>
        </w:rPr>
      </w:pPr>
      <w:r w:rsidRPr="00E70BF3">
        <w:rPr>
          <w:rFonts w:eastAsia="Times New Roman" w:cstheme="minorHAnsi"/>
          <w:b/>
          <w:bCs/>
          <w:lang w:eastAsia="hr-BA"/>
        </w:rPr>
        <w:t>1</w:t>
      </w:r>
      <w:r w:rsidR="00B37B0A">
        <w:rPr>
          <w:rFonts w:eastAsia="Times New Roman" w:cstheme="minorHAnsi"/>
          <w:b/>
          <w:bCs/>
          <w:lang w:eastAsia="hr-BA"/>
        </w:rPr>
        <w:t>4</w:t>
      </w:r>
      <w:r w:rsidR="00EC3C87" w:rsidRPr="00E70BF3">
        <w:rPr>
          <w:rFonts w:eastAsia="Times New Roman" w:cstheme="minorHAnsi"/>
          <w:b/>
          <w:bCs/>
          <w:lang w:eastAsia="hr-BA"/>
        </w:rPr>
        <w:t>. Rizici i plan mitigacije</w:t>
      </w:r>
    </w:p>
    <w:p w:rsidR="005F218B" w:rsidRPr="00E70BF3" w:rsidRDefault="006E31C8" w:rsidP="005F218B">
      <w:pPr>
        <w:spacing w:before="100" w:beforeAutospacing="1" w:after="100" w:afterAutospacing="1" w:line="240" w:lineRule="auto"/>
        <w:outlineLvl w:val="3"/>
        <w:rPr>
          <w:rFonts w:eastAsia="Times New Roman" w:cstheme="minorHAnsi"/>
          <w:b/>
          <w:bCs/>
          <w:lang w:eastAsia="hr-BA"/>
        </w:rPr>
      </w:pPr>
      <w:r w:rsidRPr="00E70BF3">
        <w:rPr>
          <w:rFonts w:eastAsia="Times New Roman" w:cstheme="minorHAnsi"/>
          <w:b/>
          <w:bCs/>
          <w:lang w:eastAsia="hr-BA"/>
        </w:rPr>
        <w:t>1</w:t>
      </w:r>
      <w:r w:rsidR="00B37B0A">
        <w:rPr>
          <w:rFonts w:eastAsia="Times New Roman" w:cstheme="minorHAnsi"/>
          <w:b/>
          <w:bCs/>
          <w:lang w:eastAsia="hr-BA"/>
        </w:rPr>
        <w:t>4</w:t>
      </w:r>
      <w:r w:rsidR="005F218B" w:rsidRPr="00E70BF3">
        <w:rPr>
          <w:rFonts w:eastAsia="Times New Roman" w:cstheme="minorHAnsi"/>
          <w:b/>
          <w:bCs/>
          <w:lang w:eastAsia="hr-BA"/>
        </w:rPr>
        <w:t>.1. Rizici</w:t>
      </w:r>
    </w:p>
    <w:p w:rsidR="005F218B" w:rsidRPr="00E70BF3" w:rsidRDefault="005F218B" w:rsidP="007A64F4">
      <w:pPr>
        <w:numPr>
          <w:ilvl w:val="0"/>
          <w:numId w:val="9"/>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Tržišni rizik:</w:t>
      </w:r>
      <w:r w:rsidRPr="00E70BF3">
        <w:rPr>
          <w:rFonts w:eastAsia="Times New Roman" w:cstheme="minorHAnsi"/>
          <w:lang w:eastAsia="hr-BA"/>
        </w:rPr>
        <w:t xml:space="preserve"> Moguće prom</w:t>
      </w:r>
      <w:r w:rsidR="00972EE7" w:rsidRPr="00E70BF3">
        <w:rPr>
          <w:rFonts w:eastAsia="Times New Roman" w:cstheme="minorHAnsi"/>
          <w:lang w:eastAsia="hr-BA"/>
        </w:rPr>
        <w:t>j</w:t>
      </w:r>
      <w:r w:rsidRPr="00E70BF3">
        <w:rPr>
          <w:rFonts w:eastAsia="Times New Roman" w:cstheme="minorHAnsi"/>
          <w:lang w:eastAsia="hr-BA"/>
        </w:rPr>
        <w:t>ene u potrošačkim navikama ili povećanje konkurencije.</w:t>
      </w:r>
    </w:p>
    <w:p w:rsidR="005F218B" w:rsidRPr="00E70BF3" w:rsidRDefault="005F218B" w:rsidP="007A64F4">
      <w:pPr>
        <w:numPr>
          <w:ilvl w:val="1"/>
          <w:numId w:val="9"/>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Mitigacija:</w:t>
      </w:r>
      <w:r w:rsidRPr="00E70BF3">
        <w:rPr>
          <w:rFonts w:eastAsia="Times New Roman" w:cstheme="minorHAnsi"/>
          <w:lang w:eastAsia="hr-BA"/>
        </w:rPr>
        <w:t xml:space="preserve"> Diversifikacija proizvoda (premium linije), ekspanzija na nova tržišta i snažna marketinška strategija.</w:t>
      </w:r>
    </w:p>
    <w:p w:rsidR="005F218B" w:rsidRPr="00E70BF3" w:rsidRDefault="005F218B" w:rsidP="007A64F4">
      <w:pPr>
        <w:numPr>
          <w:ilvl w:val="0"/>
          <w:numId w:val="9"/>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Operativni rizik:</w:t>
      </w:r>
      <w:r w:rsidRPr="00E70BF3">
        <w:rPr>
          <w:rFonts w:eastAsia="Times New Roman" w:cstheme="minorHAnsi"/>
          <w:lang w:eastAsia="hr-BA"/>
        </w:rPr>
        <w:t xml:space="preserve"> Rizik od smanjenja efikasnosti proizvodnje ili zastoja.</w:t>
      </w:r>
    </w:p>
    <w:p w:rsidR="005F218B" w:rsidRPr="00E70BF3" w:rsidRDefault="005F218B" w:rsidP="007A64F4">
      <w:pPr>
        <w:numPr>
          <w:ilvl w:val="1"/>
          <w:numId w:val="9"/>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Mitigacija:</w:t>
      </w:r>
      <w:r w:rsidRPr="00E70BF3">
        <w:rPr>
          <w:rFonts w:eastAsia="Times New Roman" w:cstheme="minorHAnsi"/>
          <w:lang w:eastAsia="hr-BA"/>
        </w:rPr>
        <w:t xml:space="preserve"> Automatizacija proizvodnje, unapr</w:t>
      </w:r>
      <w:r w:rsidR="00972EE7" w:rsidRPr="00E70BF3">
        <w:rPr>
          <w:rFonts w:eastAsia="Times New Roman" w:cstheme="minorHAnsi"/>
          <w:lang w:eastAsia="hr-BA"/>
        </w:rPr>
        <w:t>ij</w:t>
      </w:r>
      <w:r w:rsidRPr="00E70BF3">
        <w:rPr>
          <w:rFonts w:eastAsia="Times New Roman" w:cstheme="minorHAnsi"/>
          <w:lang w:eastAsia="hr-BA"/>
        </w:rPr>
        <w:t>eđenje radnih procesa i ulaganje u obuku zaposlenih.</w:t>
      </w:r>
    </w:p>
    <w:p w:rsidR="005F218B" w:rsidRPr="00E70BF3" w:rsidRDefault="005F218B" w:rsidP="007A64F4">
      <w:pPr>
        <w:numPr>
          <w:ilvl w:val="0"/>
          <w:numId w:val="9"/>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Finansijski rizik:</w:t>
      </w:r>
      <w:r w:rsidRPr="00E70BF3">
        <w:rPr>
          <w:rFonts w:eastAsia="Times New Roman" w:cstheme="minorHAnsi"/>
          <w:lang w:eastAsia="hr-BA"/>
        </w:rPr>
        <w:t xml:space="preserve"> Povećanje kamatnih stopa ili problemi u otplati obveznica.</w:t>
      </w:r>
    </w:p>
    <w:p w:rsidR="005F218B" w:rsidRPr="00E70BF3" w:rsidRDefault="005F218B" w:rsidP="007A64F4">
      <w:pPr>
        <w:numPr>
          <w:ilvl w:val="1"/>
          <w:numId w:val="9"/>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Mitigacija:</w:t>
      </w:r>
      <w:r w:rsidRPr="00E70BF3">
        <w:rPr>
          <w:rFonts w:eastAsia="Times New Roman" w:cstheme="minorHAnsi"/>
          <w:lang w:eastAsia="hr-BA"/>
        </w:rPr>
        <w:t xml:space="preserve"> Planiranje rezervi za plaćanje kamata, kao i mogućnost refinansiranja obveznica ako bude potrebno.</w:t>
      </w:r>
    </w:p>
    <w:p w:rsidR="005F218B" w:rsidRPr="00E70BF3" w:rsidRDefault="00A00D7B" w:rsidP="005F218B">
      <w:pPr>
        <w:spacing w:after="0" w:line="240" w:lineRule="auto"/>
        <w:rPr>
          <w:rFonts w:eastAsia="Times New Roman" w:cstheme="minorHAnsi"/>
          <w:lang w:eastAsia="hr-BA"/>
        </w:rPr>
      </w:pPr>
      <w:r>
        <w:rPr>
          <w:rFonts w:eastAsia="Times New Roman" w:cstheme="minorHAnsi"/>
          <w:lang w:eastAsia="hr-BA"/>
        </w:rPr>
        <w:pict>
          <v:rect id="_x0000_i1038" style="width:0;height:1.5pt" o:hralign="center" o:hrstd="t" o:hr="t" fillcolor="#a0a0a0" stroked="f"/>
        </w:pict>
      </w:r>
    </w:p>
    <w:p w:rsidR="00EC3C87" w:rsidRPr="00E70BF3" w:rsidRDefault="006E31C8" w:rsidP="00EC3C87">
      <w:pPr>
        <w:spacing w:before="100" w:beforeAutospacing="1" w:after="100" w:afterAutospacing="1" w:line="240" w:lineRule="auto"/>
        <w:outlineLvl w:val="2"/>
        <w:rPr>
          <w:rFonts w:eastAsia="Times New Roman" w:cstheme="minorHAnsi"/>
          <w:b/>
          <w:bCs/>
          <w:lang w:eastAsia="hr-BA"/>
        </w:rPr>
      </w:pPr>
      <w:r w:rsidRPr="00E70BF3">
        <w:rPr>
          <w:rFonts w:eastAsia="Times New Roman" w:cstheme="minorHAnsi"/>
          <w:b/>
          <w:bCs/>
          <w:lang w:eastAsia="hr-BA"/>
        </w:rPr>
        <w:t>1</w:t>
      </w:r>
      <w:r w:rsidR="00B37B0A">
        <w:rPr>
          <w:rFonts w:eastAsia="Times New Roman" w:cstheme="minorHAnsi"/>
          <w:b/>
          <w:bCs/>
          <w:lang w:eastAsia="hr-BA"/>
        </w:rPr>
        <w:t>5</w:t>
      </w:r>
      <w:r w:rsidR="00EC3C87" w:rsidRPr="00E70BF3">
        <w:rPr>
          <w:rFonts w:eastAsia="Times New Roman" w:cstheme="minorHAnsi"/>
          <w:b/>
          <w:bCs/>
          <w:lang w:eastAsia="hr-BA"/>
        </w:rPr>
        <w:t>. Praćenje i evaluacija uspjeha</w:t>
      </w:r>
    </w:p>
    <w:p w:rsidR="00EC3C87" w:rsidRPr="00E70BF3" w:rsidRDefault="00EC3C87" w:rsidP="007A64F4">
      <w:pPr>
        <w:spacing w:before="100" w:beforeAutospacing="1" w:after="100" w:afterAutospacing="1" w:line="240" w:lineRule="auto"/>
        <w:jc w:val="both"/>
        <w:rPr>
          <w:rFonts w:eastAsia="Times New Roman" w:cstheme="minorHAnsi"/>
          <w:lang w:eastAsia="hr-BA"/>
        </w:rPr>
      </w:pPr>
      <w:r w:rsidRPr="00E70BF3">
        <w:rPr>
          <w:rFonts w:eastAsia="Times New Roman" w:cstheme="minorHAnsi"/>
          <w:lang w:eastAsia="hr-BA"/>
        </w:rPr>
        <w:t>Uspjeh ove strategije bit će praćen kroz kvartalne izvještaje o poslovanju, koji uključuju:</w:t>
      </w:r>
    </w:p>
    <w:p w:rsidR="00EC3C87" w:rsidRPr="00E70BF3" w:rsidRDefault="00EC3C87" w:rsidP="007A64F4">
      <w:pPr>
        <w:numPr>
          <w:ilvl w:val="0"/>
          <w:numId w:val="20"/>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Financijske pokazatelje</w:t>
      </w:r>
      <w:r w:rsidRPr="00E70BF3">
        <w:rPr>
          <w:rFonts w:eastAsia="Times New Roman" w:cstheme="minorHAnsi"/>
          <w:lang w:eastAsia="hr-BA"/>
        </w:rPr>
        <w:t>: Praćenje rasta prihoda, smanjenja troškova, likvidnosti i profitabilnosti.</w:t>
      </w:r>
    </w:p>
    <w:p w:rsidR="00EC3C87" w:rsidRPr="00E70BF3" w:rsidRDefault="00EC3C87" w:rsidP="007A64F4">
      <w:pPr>
        <w:numPr>
          <w:ilvl w:val="0"/>
          <w:numId w:val="20"/>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lastRenderedPageBreak/>
        <w:t>Realizacija investicija</w:t>
      </w:r>
      <w:r w:rsidRPr="00E70BF3">
        <w:rPr>
          <w:rFonts w:eastAsia="Times New Roman" w:cstheme="minorHAnsi"/>
          <w:lang w:eastAsia="hr-BA"/>
        </w:rPr>
        <w:t>: Redov</w:t>
      </w:r>
      <w:r w:rsidR="006E31C8" w:rsidRPr="00E70BF3">
        <w:rPr>
          <w:rFonts w:eastAsia="Times New Roman" w:cstheme="minorHAnsi"/>
          <w:lang w:eastAsia="hr-BA"/>
        </w:rPr>
        <w:t>n</w:t>
      </w:r>
      <w:r w:rsidRPr="00E70BF3">
        <w:rPr>
          <w:rFonts w:eastAsia="Times New Roman" w:cstheme="minorHAnsi"/>
          <w:lang w:eastAsia="hr-BA"/>
        </w:rPr>
        <w:t>i izvještaji o napretku u investicijama u infrastrukturu, tehnologije i ljudski kapital.</w:t>
      </w:r>
    </w:p>
    <w:p w:rsidR="00EC3C87" w:rsidRPr="00E70BF3" w:rsidRDefault="00EC3C87" w:rsidP="007A64F4">
      <w:pPr>
        <w:numPr>
          <w:ilvl w:val="0"/>
          <w:numId w:val="20"/>
        </w:num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Kvaliteta proizvoda i zadovoljstvo potrošača</w:t>
      </w:r>
      <w:r w:rsidRPr="00E70BF3">
        <w:rPr>
          <w:rFonts w:eastAsia="Times New Roman" w:cstheme="minorHAnsi"/>
          <w:lang w:eastAsia="hr-BA"/>
        </w:rPr>
        <w:t>: Praćenje marketinških kampanja i povratnih informacija od potrošača.</w:t>
      </w:r>
    </w:p>
    <w:p w:rsidR="00EC3C87" w:rsidRPr="00E70BF3" w:rsidRDefault="00A00D7B" w:rsidP="00EC3C87">
      <w:pPr>
        <w:spacing w:after="0" w:line="240" w:lineRule="auto"/>
        <w:rPr>
          <w:rFonts w:eastAsia="Times New Roman" w:cstheme="minorHAnsi"/>
          <w:lang w:eastAsia="hr-BA"/>
        </w:rPr>
      </w:pPr>
      <w:r>
        <w:rPr>
          <w:rFonts w:eastAsia="Times New Roman" w:cstheme="minorHAnsi"/>
          <w:lang w:eastAsia="hr-BA"/>
        </w:rPr>
        <w:pict>
          <v:rect id="_x0000_i1039" style="width:0;height:1.5pt" o:hralign="center" o:hrstd="t" o:hr="t" fillcolor="#a0a0a0" stroked="f"/>
        </w:pict>
      </w:r>
    </w:p>
    <w:p w:rsidR="00EC3C87" w:rsidRPr="00E70BF3" w:rsidRDefault="006E31C8" w:rsidP="005F218B">
      <w:pPr>
        <w:spacing w:before="100" w:beforeAutospacing="1" w:after="100" w:afterAutospacing="1" w:line="240" w:lineRule="auto"/>
        <w:outlineLvl w:val="2"/>
        <w:rPr>
          <w:rFonts w:eastAsia="Times New Roman" w:cstheme="minorHAnsi"/>
          <w:b/>
          <w:bCs/>
          <w:lang w:eastAsia="hr-BA"/>
        </w:rPr>
      </w:pPr>
      <w:r w:rsidRPr="00E70BF3">
        <w:rPr>
          <w:rFonts w:eastAsia="Times New Roman" w:cstheme="minorHAnsi"/>
          <w:b/>
          <w:bCs/>
          <w:lang w:eastAsia="hr-BA"/>
        </w:rPr>
        <w:t>1</w:t>
      </w:r>
      <w:r w:rsidR="00B37B0A">
        <w:rPr>
          <w:rFonts w:eastAsia="Times New Roman" w:cstheme="minorHAnsi"/>
          <w:b/>
          <w:bCs/>
          <w:lang w:eastAsia="hr-BA"/>
        </w:rPr>
        <w:t>6</w:t>
      </w:r>
      <w:r w:rsidR="00EC3C87" w:rsidRPr="00E70BF3">
        <w:rPr>
          <w:rFonts w:eastAsia="Times New Roman" w:cstheme="minorHAnsi"/>
          <w:b/>
          <w:bCs/>
          <w:lang w:eastAsia="hr-BA"/>
        </w:rPr>
        <w:t>. Zaključak</w:t>
      </w:r>
    </w:p>
    <w:p w:rsidR="005F218B" w:rsidRPr="00E70BF3" w:rsidRDefault="005F218B" w:rsidP="007A64F4">
      <w:pPr>
        <w:spacing w:before="100" w:beforeAutospacing="1" w:after="100" w:afterAutospacing="1" w:line="240" w:lineRule="auto"/>
        <w:jc w:val="both"/>
        <w:rPr>
          <w:rFonts w:eastAsia="Times New Roman" w:cstheme="minorHAnsi"/>
          <w:lang w:eastAsia="hr-BA"/>
        </w:rPr>
      </w:pPr>
      <w:r w:rsidRPr="00E70BF3">
        <w:rPr>
          <w:rFonts w:eastAsia="Times New Roman" w:cstheme="minorHAnsi"/>
          <w:b/>
          <w:bCs/>
          <w:lang w:eastAsia="hr-BA"/>
        </w:rPr>
        <w:t>Plan poslovanja za period 2025-20</w:t>
      </w:r>
      <w:r w:rsidR="00972EE7" w:rsidRPr="00E70BF3">
        <w:rPr>
          <w:rFonts w:eastAsia="Times New Roman" w:cstheme="minorHAnsi"/>
          <w:b/>
          <w:bCs/>
          <w:lang w:eastAsia="hr-BA"/>
        </w:rPr>
        <w:t>30</w:t>
      </w:r>
      <w:r w:rsidRPr="00E70BF3">
        <w:rPr>
          <w:rFonts w:eastAsia="Times New Roman" w:cstheme="minorHAnsi"/>
          <w:lang w:eastAsia="hr-BA"/>
        </w:rPr>
        <w:t xml:space="preserve"> sa integracijom emisije obveznica osigurava održiv rast i pozitivan novčani tok. Kapital prikupljen emisijom obveznica biće iskoriš</w:t>
      </w:r>
      <w:r w:rsidR="00972EE7" w:rsidRPr="00E70BF3">
        <w:rPr>
          <w:rFonts w:eastAsia="Times New Roman" w:cstheme="minorHAnsi"/>
          <w:lang w:eastAsia="hr-BA"/>
        </w:rPr>
        <w:t>t</w:t>
      </w:r>
      <w:r w:rsidRPr="00E70BF3">
        <w:rPr>
          <w:rFonts w:eastAsia="Times New Roman" w:cstheme="minorHAnsi"/>
          <w:lang w:eastAsia="hr-BA"/>
        </w:rPr>
        <w:t xml:space="preserve">en za širenje proizvodnje, inovacije i ekspanziju na nova tržišta. </w:t>
      </w:r>
      <w:r w:rsidR="00134D2C">
        <w:t xml:space="preserve">Sarajevska pivara d.d. Sarajevo </w:t>
      </w:r>
      <w:r w:rsidRPr="00E70BF3">
        <w:rPr>
          <w:rFonts w:eastAsia="Times New Roman" w:cstheme="minorHAnsi"/>
          <w:lang w:eastAsia="hr-BA"/>
        </w:rPr>
        <w:t>će biti u mogućnosti da iz svojih prihoda isplaćuje kamate, dok će otplata glavnice biti izvršena u poslednjoj godini plana (20</w:t>
      </w:r>
      <w:r w:rsidR="00972EE7" w:rsidRPr="00E70BF3">
        <w:rPr>
          <w:rFonts w:eastAsia="Times New Roman" w:cstheme="minorHAnsi"/>
          <w:lang w:eastAsia="hr-BA"/>
        </w:rPr>
        <w:t>30</w:t>
      </w:r>
      <w:r w:rsidRPr="00E70BF3">
        <w:rPr>
          <w:rFonts w:eastAsia="Times New Roman" w:cstheme="minorHAnsi"/>
          <w:lang w:eastAsia="hr-BA"/>
        </w:rPr>
        <w:t>.), čime se izb</w:t>
      </w:r>
      <w:r w:rsidR="00972EE7" w:rsidRPr="00E70BF3">
        <w:rPr>
          <w:rFonts w:eastAsia="Times New Roman" w:cstheme="minorHAnsi"/>
          <w:lang w:eastAsia="hr-BA"/>
        </w:rPr>
        <w:t>j</w:t>
      </w:r>
      <w:r w:rsidRPr="00E70BF3">
        <w:rPr>
          <w:rFonts w:eastAsia="Times New Roman" w:cstheme="minorHAnsi"/>
          <w:lang w:eastAsia="hr-BA"/>
        </w:rPr>
        <w:t>egava negativna dobit.</w:t>
      </w:r>
    </w:p>
    <w:p w:rsidR="005F218B" w:rsidRPr="00E70BF3" w:rsidRDefault="005F218B" w:rsidP="007A64F4">
      <w:pPr>
        <w:spacing w:before="100" w:beforeAutospacing="1" w:after="100" w:afterAutospacing="1" w:line="240" w:lineRule="auto"/>
        <w:jc w:val="both"/>
        <w:rPr>
          <w:rFonts w:eastAsia="Times New Roman" w:cstheme="minorHAnsi"/>
          <w:lang w:eastAsia="hr-BA"/>
        </w:rPr>
      </w:pPr>
      <w:r w:rsidRPr="00E70BF3">
        <w:rPr>
          <w:rFonts w:eastAsia="Times New Roman" w:cstheme="minorHAnsi"/>
          <w:lang w:eastAsia="hr-BA"/>
        </w:rPr>
        <w:t>Na osnovu ovoga, investitori mogu biti sigurni da je poslovni plan realan i da omogućava postizanje stabilnog rasta i profitabilnosti.</w:t>
      </w:r>
    </w:p>
    <w:p w:rsidR="00EC3C87" w:rsidRDefault="00EC3C87" w:rsidP="007A64F4">
      <w:pPr>
        <w:spacing w:before="100" w:beforeAutospacing="1" w:after="100" w:afterAutospacing="1" w:line="240" w:lineRule="auto"/>
        <w:jc w:val="both"/>
        <w:rPr>
          <w:rFonts w:eastAsia="Times New Roman" w:cstheme="minorHAnsi"/>
          <w:lang w:eastAsia="hr-BA"/>
        </w:rPr>
      </w:pPr>
      <w:r w:rsidRPr="00E70BF3">
        <w:rPr>
          <w:rFonts w:eastAsia="Times New Roman" w:cstheme="minorHAnsi"/>
          <w:lang w:eastAsia="hr-BA"/>
        </w:rPr>
        <w:t>Strategija za razdoblje 2025-20</w:t>
      </w:r>
      <w:r w:rsidR="006E31C8" w:rsidRPr="00E70BF3">
        <w:rPr>
          <w:rFonts w:eastAsia="Times New Roman" w:cstheme="minorHAnsi"/>
          <w:lang w:eastAsia="hr-BA"/>
        </w:rPr>
        <w:t>30</w:t>
      </w:r>
      <w:r w:rsidRPr="00E70BF3">
        <w:rPr>
          <w:rFonts w:eastAsia="Times New Roman" w:cstheme="minorHAnsi"/>
          <w:lang w:eastAsia="hr-BA"/>
        </w:rPr>
        <w:t xml:space="preserve"> postavlja jasne ciljeve za rast, stabilnost i inovaciju. Ovaj plan poslovanja osigurava </w:t>
      </w:r>
      <w:r w:rsidR="007A64F4">
        <w:rPr>
          <w:rFonts w:eastAsia="Times New Roman" w:cstheme="minorHAnsi"/>
          <w:lang w:eastAsia="hr-BA"/>
        </w:rPr>
        <w:t>Sarajevskoj pivari d.d. Sarajevo</w:t>
      </w:r>
      <w:r w:rsidRPr="00E70BF3">
        <w:rPr>
          <w:rFonts w:eastAsia="Times New Roman" w:cstheme="minorHAnsi"/>
          <w:lang w:eastAsia="hr-BA"/>
        </w:rPr>
        <w:t xml:space="preserve"> održivost, povećanje tržišnog udjela, kao i unapređenje profitabilnosti kroz optimizaciju i ulaganja u ključna područja. Uzimajući u obzir konkurentske izazove, </w:t>
      </w:r>
      <w:r w:rsidR="007A64F4">
        <w:rPr>
          <w:rFonts w:eastAsia="Times New Roman" w:cstheme="minorHAnsi"/>
          <w:lang w:eastAsia="hr-BA"/>
        </w:rPr>
        <w:t>Sarajevska pivara d.d. Sarajevo</w:t>
      </w:r>
      <w:r w:rsidRPr="00E70BF3">
        <w:rPr>
          <w:rFonts w:eastAsia="Times New Roman" w:cstheme="minorHAnsi"/>
          <w:lang w:eastAsia="hr-BA"/>
        </w:rPr>
        <w:t xml:space="preserve"> će koristiti svoje jake strane, stabilan kapital i pozitivan trend dobiti kako bi nastavil</w:t>
      </w:r>
      <w:r w:rsidR="006E31C8" w:rsidRPr="00E70BF3">
        <w:rPr>
          <w:rFonts w:eastAsia="Times New Roman" w:cstheme="minorHAnsi"/>
          <w:lang w:eastAsia="hr-BA"/>
        </w:rPr>
        <w:t>o</w:t>
      </w:r>
      <w:r w:rsidRPr="00E70BF3">
        <w:rPr>
          <w:rFonts w:eastAsia="Times New Roman" w:cstheme="minorHAnsi"/>
          <w:lang w:eastAsia="hr-BA"/>
        </w:rPr>
        <w:t xml:space="preserve"> rasti i postiza</w:t>
      </w:r>
      <w:r w:rsidR="006E31C8" w:rsidRPr="00E70BF3">
        <w:rPr>
          <w:rFonts w:eastAsia="Times New Roman" w:cstheme="minorHAnsi"/>
          <w:lang w:eastAsia="hr-BA"/>
        </w:rPr>
        <w:t>ti</w:t>
      </w:r>
      <w:r w:rsidRPr="00E70BF3">
        <w:rPr>
          <w:rFonts w:eastAsia="Times New Roman" w:cstheme="minorHAnsi"/>
          <w:lang w:eastAsia="hr-BA"/>
        </w:rPr>
        <w:t xml:space="preserve"> dugoročne ciljeve.</w:t>
      </w:r>
    </w:p>
    <w:p w:rsidR="00E827A5" w:rsidRDefault="00E827A5" w:rsidP="007A64F4">
      <w:pPr>
        <w:spacing w:before="100" w:beforeAutospacing="1" w:after="100" w:afterAutospacing="1" w:line="240" w:lineRule="auto"/>
        <w:jc w:val="both"/>
        <w:rPr>
          <w:rFonts w:eastAsia="Times New Roman" w:cstheme="minorHAnsi"/>
          <w:lang w:eastAsia="hr-BA"/>
        </w:rPr>
      </w:pPr>
    </w:p>
    <w:p w:rsidR="00E827A5" w:rsidRDefault="00E827A5" w:rsidP="007A64F4">
      <w:pPr>
        <w:spacing w:before="100" w:beforeAutospacing="1" w:after="100" w:afterAutospacing="1" w:line="240" w:lineRule="auto"/>
        <w:jc w:val="both"/>
        <w:rPr>
          <w:rFonts w:eastAsia="Times New Roman" w:cstheme="minorHAnsi"/>
          <w:lang w:eastAsia="hr-BA"/>
        </w:rPr>
      </w:pPr>
      <w:r>
        <w:rPr>
          <w:rFonts w:eastAsia="Times New Roman" w:cstheme="minorHAnsi"/>
          <w:lang w:eastAsia="hr-BA"/>
        </w:rPr>
        <w:t>Prilozi:</w:t>
      </w:r>
    </w:p>
    <w:p w:rsidR="00E827A5" w:rsidRDefault="00E827A5" w:rsidP="00E827A5">
      <w:pPr>
        <w:pStyle w:val="ListParagraph"/>
        <w:numPr>
          <w:ilvl w:val="0"/>
          <w:numId w:val="20"/>
        </w:numPr>
        <w:spacing w:before="100" w:beforeAutospacing="1" w:after="100" w:afterAutospacing="1" w:line="240" w:lineRule="auto"/>
        <w:jc w:val="both"/>
        <w:rPr>
          <w:rFonts w:eastAsia="Times New Roman" w:cstheme="minorHAnsi"/>
          <w:lang w:eastAsia="hr-BA"/>
        </w:rPr>
      </w:pPr>
      <w:r>
        <w:rPr>
          <w:rFonts w:eastAsia="Times New Roman" w:cstheme="minorHAnsi"/>
          <w:lang w:eastAsia="hr-BA"/>
        </w:rPr>
        <w:t>Finansijski izvještaji prethodnih godina</w:t>
      </w:r>
    </w:p>
    <w:p w:rsidR="00E827A5" w:rsidRDefault="00E827A5" w:rsidP="00E827A5">
      <w:pPr>
        <w:pStyle w:val="ListParagraph"/>
        <w:numPr>
          <w:ilvl w:val="0"/>
          <w:numId w:val="20"/>
        </w:numPr>
        <w:spacing w:before="100" w:beforeAutospacing="1" w:after="100" w:afterAutospacing="1" w:line="240" w:lineRule="auto"/>
        <w:jc w:val="both"/>
        <w:rPr>
          <w:rFonts w:eastAsia="Times New Roman" w:cstheme="minorHAnsi"/>
          <w:lang w:eastAsia="hr-BA"/>
        </w:rPr>
      </w:pPr>
      <w:r>
        <w:rPr>
          <w:rFonts w:eastAsia="Times New Roman" w:cstheme="minorHAnsi"/>
          <w:lang w:eastAsia="hr-BA"/>
        </w:rPr>
        <w:t>Revizorski izvještaj 2024. godine</w:t>
      </w:r>
    </w:p>
    <w:p w:rsidR="00E827A5" w:rsidRDefault="00E827A5" w:rsidP="00E827A5">
      <w:pPr>
        <w:pStyle w:val="ListParagraph"/>
        <w:numPr>
          <w:ilvl w:val="0"/>
          <w:numId w:val="20"/>
        </w:numPr>
        <w:spacing w:before="100" w:beforeAutospacing="1" w:after="100" w:afterAutospacing="1" w:line="240" w:lineRule="auto"/>
        <w:jc w:val="both"/>
        <w:rPr>
          <w:rFonts w:eastAsia="Times New Roman" w:cstheme="minorHAnsi"/>
          <w:lang w:eastAsia="hr-BA"/>
        </w:rPr>
      </w:pPr>
      <w:r>
        <w:rPr>
          <w:rFonts w:eastAsia="Times New Roman" w:cstheme="minorHAnsi"/>
          <w:lang w:eastAsia="hr-BA"/>
        </w:rPr>
        <w:t>Detaljna excel tablica sa projekcijama</w:t>
      </w:r>
    </w:p>
    <w:p w:rsidR="00E827A5" w:rsidRDefault="00E827A5" w:rsidP="00E827A5">
      <w:pPr>
        <w:pStyle w:val="ListParagraph"/>
        <w:numPr>
          <w:ilvl w:val="0"/>
          <w:numId w:val="20"/>
        </w:numPr>
        <w:spacing w:before="100" w:beforeAutospacing="1" w:after="100" w:afterAutospacing="1" w:line="240" w:lineRule="auto"/>
        <w:jc w:val="both"/>
        <w:rPr>
          <w:rFonts w:eastAsia="Times New Roman" w:cstheme="minorHAnsi"/>
          <w:lang w:eastAsia="hr-BA"/>
        </w:rPr>
      </w:pPr>
      <w:r>
        <w:rPr>
          <w:rFonts w:eastAsia="Times New Roman" w:cstheme="minorHAnsi"/>
          <w:lang w:eastAsia="hr-BA"/>
        </w:rPr>
        <w:t>Prospekt</w:t>
      </w:r>
    </w:p>
    <w:p w:rsidR="00E827A5" w:rsidRPr="00E827A5" w:rsidRDefault="00E827A5" w:rsidP="00E827A5">
      <w:pPr>
        <w:pStyle w:val="ListParagraph"/>
        <w:numPr>
          <w:ilvl w:val="0"/>
          <w:numId w:val="20"/>
        </w:numPr>
        <w:spacing w:before="100" w:beforeAutospacing="1" w:after="100" w:afterAutospacing="1" w:line="240" w:lineRule="auto"/>
        <w:jc w:val="both"/>
        <w:rPr>
          <w:rFonts w:eastAsia="Times New Roman" w:cstheme="minorHAnsi"/>
          <w:lang w:eastAsia="hr-BA"/>
        </w:rPr>
      </w:pPr>
      <w:r>
        <w:rPr>
          <w:rFonts w:eastAsia="Times New Roman" w:cstheme="minorHAnsi"/>
          <w:lang w:eastAsia="hr-BA"/>
        </w:rPr>
        <w:t>Biznis plan ulaganja sa detaljnim objašnjenjima</w:t>
      </w:r>
    </w:p>
    <w:sectPr w:rsidR="00E827A5" w:rsidRPr="00E827A5" w:rsidSect="00D872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7ED7"/>
    <w:multiLevelType w:val="multilevel"/>
    <w:tmpl w:val="86EE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14E76"/>
    <w:multiLevelType w:val="multilevel"/>
    <w:tmpl w:val="82F4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17902"/>
    <w:multiLevelType w:val="multilevel"/>
    <w:tmpl w:val="2A64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321A6"/>
    <w:multiLevelType w:val="multilevel"/>
    <w:tmpl w:val="4D62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87D0E"/>
    <w:multiLevelType w:val="multilevel"/>
    <w:tmpl w:val="CA36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04677"/>
    <w:multiLevelType w:val="multilevel"/>
    <w:tmpl w:val="0692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75306"/>
    <w:multiLevelType w:val="multilevel"/>
    <w:tmpl w:val="BD3C2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096A55"/>
    <w:multiLevelType w:val="multilevel"/>
    <w:tmpl w:val="3BB8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725C1"/>
    <w:multiLevelType w:val="multilevel"/>
    <w:tmpl w:val="4542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E9060B"/>
    <w:multiLevelType w:val="multilevel"/>
    <w:tmpl w:val="E3D6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3504B7"/>
    <w:multiLevelType w:val="hybridMultilevel"/>
    <w:tmpl w:val="BB3201D2"/>
    <w:lvl w:ilvl="0" w:tplc="67824CB8">
      <w:numFmt w:val="bullet"/>
      <w:lvlText w:val="-"/>
      <w:lvlJc w:val="left"/>
      <w:pPr>
        <w:ind w:left="1080" w:hanging="360"/>
      </w:pPr>
      <w:rPr>
        <w:rFonts w:ascii="Calibri" w:eastAsia="Times New Roman" w:hAnsi="Calibri" w:cs="Calibri" w:hint="default"/>
      </w:rPr>
    </w:lvl>
    <w:lvl w:ilvl="1" w:tplc="101A0003" w:tentative="1">
      <w:start w:val="1"/>
      <w:numFmt w:val="bullet"/>
      <w:lvlText w:val="o"/>
      <w:lvlJc w:val="left"/>
      <w:pPr>
        <w:ind w:left="1800" w:hanging="360"/>
      </w:pPr>
      <w:rPr>
        <w:rFonts w:ascii="Courier New" w:hAnsi="Courier New" w:cs="Courier New" w:hint="default"/>
      </w:rPr>
    </w:lvl>
    <w:lvl w:ilvl="2" w:tplc="101A0005" w:tentative="1">
      <w:start w:val="1"/>
      <w:numFmt w:val="bullet"/>
      <w:lvlText w:val=""/>
      <w:lvlJc w:val="left"/>
      <w:pPr>
        <w:ind w:left="2520" w:hanging="360"/>
      </w:pPr>
      <w:rPr>
        <w:rFonts w:ascii="Wingdings" w:hAnsi="Wingdings" w:hint="default"/>
      </w:rPr>
    </w:lvl>
    <w:lvl w:ilvl="3" w:tplc="101A0001" w:tentative="1">
      <w:start w:val="1"/>
      <w:numFmt w:val="bullet"/>
      <w:lvlText w:val=""/>
      <w:lvlJc w:val="left"/>
      <w:pPr>
        <w:ind w:left="3240" w:hanging="360"/>
      </w:pPr>
      <w:rPr>
        <w:rFonts w:ascii="Symbol" w:hAnsi="Symbol" w:hint="default"/>
      </w:rPr>
    </w:lvl>
    <w:lvl w:ilvl="4" w:tplc="101A0003" w:tentative="1">
      <w:start w:val="1"/>
      <w:numFmt w:val="bullet"/>
      <w:lvlText w:val="o"/>
      <w:lvlJc w:val="left"/>
      <w:pPr>
        <w:ind w:left="3960" w:hanging="360"/>
      </w:pPr>
      <w:rPr>
        <w:rFonts w:ascii="Courier New" w:hAnsi="Courier New" w:cs="Courier New" w:hint="default"/>
      </w:rPr>
    </w:lvl>
    <w:lvl w:ilvl="5" w:tplc="101A0005" w:tentative="1">
      <w:start w:val="1"/>
      <w:numFmt w:val="bullet"/>
      <w:lvlText w:val=""/>
      <w:lvlJc w:val="left"/>
      <w:pPr>
        <w:ind w:left="4680" w:hanging="360"/>
      </w:pPr>
      <w:rPr>
        <w:rFonts w:ascii="Wingdings" w:hAnsi="Wingdings" w:hint="default"/>
      </w:rPr>
    </w:lvl>
    <w:lvl w:ilvl="6" w:tplc="101A0001" w:tentative="1">
      <w:start w:val="1"/>
      <w:numFmt w:val="bullet"/>
      <w:lvlText w:val=""/>
      <w:lvlJc w:val="left"/>
      <w:pPr>
        <w:ind w:left="5400" w:hanging="360"/>
      </w:pPr>
      <w:rPr>
        <w:rFonts w:ascii="Symbol" w:hAnsi="Symbol" w:hint="default"/>
      </w:rPr>
    </w:lvl>
    <w:lvl w:ilvl="7" w:tplc="101A0003" w:tentative="1">
      <w:start w:val="1"/>
      <w:numFmt w:val="bullet"/>
      <w:lvlText w:val="o"/>
      <w:lvlJc w:val="left"/>
      <w:pPr>
        <w:ind w:left="6120" w:hanging="360"/>
      </w:pPr>
      <w:rPr>
        <w:rFonts w:ascii="Courier New" w:hAnsi="Courier New" w:cs="Courier New" w:hint="default"/>
      </w:rPr>
    </w:lvl>
    <w:lvl w:ilvl="8" w:tplc="101A0005" w:tentative="1">
      <w:start w:val="1"/>
      <w:numFmt w:val="bullet"/>
      <w:lvlText w:val=""/>
      <w:lvlJc w:val="left"/>
      <w:pPr>
        <w:ind w:left="6840" w:hanging="360"/>
      </w:pPr>
      <w:rPr>
        <w:rFonts w:ascii="Wingdings" w:hAnsi="Wingdings" w:hint="default"/>
      </w:rPr>
    </w:lvl>
  </w:abstractNum>
  <w:abstractNum w:abstractNumId="11" w15:restartNumberingAfterBreak="0">
    <w:nsid w:val="320236BE"/>
    <w:multiLevelType w:val="multilevel"/>
    <w:tmpl w:val="886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8D35B3"/>
    <w:multiLevelType w:val="multilevel"/>
    <w:tmpl w:val="896A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6C2E05"/>
    <w:multiLevelType w:val="multilevel"/>
    <w:tmpl w:val="4A4A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BB67C4"/>
    <w:multiLevelType w:val="hybridMultilevel"/>
    <w:tmpl w:val="2B50E822"/>
    <w:lvl w:ilvl="0" w:tplc="101A0001">
      <w:start w:val="1"/>
      <w:numFmt w:val="bullet"/>
      <w:lvlText w:val=""/>
      <w:lvlJc w:val="left"/>
      <w:pPr>
        <w:ind w:left="1080" w:hanging="360"/>
      </w:pPr>
      <w:rPr>
        <w:rFonts w:ascii="Symbol" w:hAnsi="Symbol" w:hint="default"/>
      </w:rPr>
    </w:lvl>
    <w:lvl w:ilvl="1" w:tplc="101A0003" w:tentative="1">
      <w:start w:val="1"/>
      <w:numFmt w:val="bullet"/>
      <w:lvlText w:val="o"/>
      <w:lvlJc w:val="left"/>
      <w:pPr>
        <w:ind w:left="1800" w:hanging="360"/>
      </w:pPr>
      <w:rPr>
        <w:rFonts w:ascii="Courier New" w:hAnsi="Courier New" w:cs="Courier New" w:hint="default"/>
      </w:rPr>
    </w:lvl>
    <w:lvl w:ilvl="2" w:tplc="101A0005" w:tentative="1">
      <w:start w:val="1"/>
      <w:numFmt w:val="bullet"/>
      <w:lvlText w:val=""/>
      <w:lvlJc w:val="left"/>
      <w:pPr>
        <w:ind w:left="2520" w:hanging="360"/>
      </w:pPr>
      <w:rPr>
        <w:rFonts w:ascii="Wingdings" w:hAnsi="Wingdings" w:hint="default"/>
      </w:rPr>
    </w:lvl>
    <w:lvl w:ilvl="3" w:tplc="101A0001" w:tentative="1">
      <w:start w:val="1"/>
      <w:numFmt w:val="bullet"/>
      <w:lvlText w:val=""/>
      <w:lvlJc w:val="left"/>
      <w:pPr>
        <w:ind w:left="3240" w:hanging="360"/>
      </w:pPr>
      <w:rPr>
        <w:rFonts w:ascii="Symbol" w:hAnsi="Symbol" w:hint="default"/>
      </w:rPr>
    </w:lvl>
    <w:lvl w:ilvl="4" w:tplc="101A0003" w:tentative="1">
      <w:start w:val="1"/>
      <w:numFmt w:val="bullet"/>
      <w:lvlText w:val="o"/>
      <w:lvlJc w:val="left"/>
      <w:pPr>
        <w:ind w:left="3960" w:hanging="360"/>
      </w:pPr>
      <w:rPr>
        <w:rFonts w:ascii="Courier New" w:hAnsi="Courier New" w:cs="Courier New" w:hint="default"/>
      </w:rPr>
    </w:lvl>
    <w:lvl w:ilvl="5" w:tplc="101A0005" w:tentative="1">
      <w:start w:val="1"/>
      <w:numFmt w:val="bullet"/>
      <w:lvlText w:val=""/>
      <w:lvlJc w:val="left"/>
      <w:pPr>
        <w:ind w:left="4680" w:hanging="360"/>
      </w:pPr>
      <w:rPr>
        <w:rFonts w:ascii="Wingdings" w:hAnsi="Wingdings" w:hint="default"/>
      </w:rPr>
    </w:lvl>
    <w:lvl w:ilvl="6" w:tplc="101A0001" w:tentative="1">
      <w:start w:val="1"/>
      <w:numFmt w:val="bullet"/>
      <w:lvlText w:val=""/>
      <w:lvlJc w:val="left"/>
      <w:pPr>
        <w:ind w:left="5400" w:hanging="360"/>
      </w:pPr>
      <w:rPr>
        <w:rFonts w:ascii="Symbol" w:hAnsi="Symbol" w:hint="default"/>
      </w:rPr>
    </w:lvl>
    <w:lvl w:ilvl="7" w:tplc="101A0003" w:tentative="1">
      <w:start w:val="1"/>
      <w:numFmt w:val="bullet"/>
      <w:lvlText w:val="o"/>
      <w:lvlJc w:val="left"/>
      <w:pPr>
        <w:ind w:left="6120" w:hanging="360"/>
      </w:pPr>
      <w:rPr>
        <w:rFonts w:ascii="Courier New" w:hAnsi="Courier New" w:cs="Courier New" w:hint="default"/>
      </w:rPr>
    </w:lvl>
    <w:lvl w:ilvl="8" w:tplc="101A0005" w:tentative="1">
      <w:start w:val="1"/>
      <w:numFmt w:val="bullet"/>
      <w:lvlText w:val=""/>
      <w:lvlJc w:val="left"/>
      <w:pPr>
        <w:ind w:left="6840" w:hanging="360"/>
      </w:pPr>
      <w:rPr>
        <w:rFonts w:ascii="Wingdings" w:hAnsi="Wingdings" w:hint="default"/>
      </w:rPr>
    </w:lvl>
  </w:abstractNum>
  <w:abstractNum w:abstractNumId="15" w15:restartNumberingAfterBreak="0">
    <w:nsid w:val="3CC3337E"/>
    <w:multiLevelType w:val="multilevel"/>
    <w:tmpl w:val="3062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5E10EA"/>
    <w:multiLevelType w:val="hybridMultilevel"/>
    <w:tmpl w:val="16C01E2C"/>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7" w15:restartNumberingAfterBreak="0">
    <w:nsid w:val="534957FB"/>
    <w:multiLevelType w:val="multilevel"/>
    <w:tmpl w:val="220C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8E429C"/>
    <w:multiLevelType w:val="multilevel"/>
    <w:tmpl w:val="3C36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C80F8D"/>
    <w:multiLevelType w:val="multilevel"/>
    <w:tmpl w:val="797C2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CF152D"/>
    <w:multiLevelType w:val="multilevel"/>
    <w:tmpl w:val="1DEA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5D4C93"/>
    <w:multiLevelType w:val="multilevel"/>
    <w:tmpl w:val="C5DAE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5B18E1"/>
    <w:multiLevelType w:val="multilevel"/>
    <w:tmpl w:val="6C06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C85FDD"/>
    <w:multiLevelType w:val="multilevel"/>
    <w:tmpl w:val="F3BC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D9582A"/>
    <w:multiLevelType w:val="multilevel"/>
    <w:tmpl w:val="14F42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98659C"/>
    <w:multiLevelType w:val="multilevel"/>
    <w:tmpl w:val="9D54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826906"/>
    <w:multiLevelType w:val="multilevel"/>
    <w:tmpl w:val="95EA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F82919"/>
    <w:multiLevelType w:val="multilevel"/>
    <w:tmpl w:val="9A34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676167"/>
    <w:multiLevelType w:val="multilevel"/>
    <w:tmpl w:val="D998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395AF0"/>
    <w:multiLevelType w:val="multilevel"/>
    <w:tmpl w:val="C0B8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FB5BD9"/>
    <w:multiLevelType w:val="multilevel"/>
    <w:tmpl w:val="D846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2"/>
  </w:num>
  <w:num w:numId="3">
    <w:abstractNumId w:val="22"/>
  </w:num>
  <w:num w:numId="4">
    <w:abstractNumId w:val="30"/>
  </w:num>
  <w:num w:numId="5">
    <w:abstractNumId w:val="0"/>
  </w:num>
  <w:num w:numId="6">
    <w:abstractNumId w:val="17"/>
  </w:num>
  <w:num w:numId="7">
    <w:abstractNumId w:val="8"/>
  </w:num>
  <w:num w:numId="8">
    <w:abstractNumId w:val="7"/>
  </w:num>
  <w:num w:numId="9">
    <w:abstractNumId w:val="24"/>
  </w:num>
  <w:num w:numId="10">
    <w:abstractNumId w:val="19"/>
  </w:num>
  <w:num w:numId="11">
    <w:abstractNumId w:val="26"/>
  </w:num>
  <w:num w:numId="12">
    <w:abstractNumId w:val="20"/>
  </w:num>
  <w:num w:numId="13">
    <w:abstractNumId w:val="13"/>
  </w:num>
  <w:num w:numId="14">
    <w:abstractNumId w:val="29"/>
  </w:num>
  <w:num w:numId="15">
    <w:abstractNumId w:val="15"/>
  </w:num>
  <w:num w:numId="16">
    <w:abstractNumId w:val="1"/>
  </w:num>
  <w:num w:numId="17">
    <w:abstractNumId w:val="2"/>
  </w:num>
  <w:num w:numId="18">
    <w:abstractNumId w:val="9"/>
  </w:num>
  <w:num w:numId="19">
    <w:abstractNumId w:val="5"/>
  </w:num>
  <w:num w:numId="20">
    <w:abstractNumId w:val="23"/>
  </w:num>
  <w:num w:numId="21">
    <w:abstractNumId w:val="18"/>
  </w:num>
  <w:num w:numId="22">
    <w:abstractNumId w:val="28"/>
  </w:num>
  <w:num w:numId="23">
    <w:abstractNumId w:val="4"/>
  </w:num>
  <w:num w:numId="24">
    <w:abstractNumId w:val="21"/>
  </w:num>
  <w:num w:numId="25">
    <w:abstractNumId w:val="25"/>
  </w:num>
  <w:num w:numId="26">
    <w:abstractNumId w:val="11"/>
  </w:num>
  <w:num w:numId="27">
    <w:abstractNumId w:val="10"/>
  </w:num>
  <w:num w:numId="28">
    <w:abstractNumId w:val="6"/>
  </w:num>
  <w:num w:numId="29">
    <w:abstractNumId w:val="3"/>
  </w:num>
  <w:num w:numId="30">
    <w:abstractNumId w:val="1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1B"/>
    <w:rsid w:val="00046537"/>
    <w:rsid w:val="00060184"/>
    <w:rsid w:val="000D1E58"/>
    <w:rsid w:val="00103A0D"/>
    <w:rsid w:val="00134D2C"/>
    <w:rsid w:val="001918B7"/>
    <w:rsid w:val="00283022"/>
    <w:rsid w:val="002F481B"/>
    <w:rsid w:val="003B2C20"/>
    <w:rsid w:val="00435631"/>
    <w:rsid w:val="004876D6"/>
    <w:rsid w:val="004D39FF"/>
    <w:rsid w:val="004F42E9"/>
    <w:rsid w:val="00532C5D"/>
    <w:rsid w:val="00555213"/>
    <w:rsid w:val="005B54AD"/>
    <w:rsid w:val="005F218B"/>
    <w:rsid w:val="00611F9A"/>
    <w:rsid w:val="006E31C8"/>
    <w:rsid w:val="00723BB8"/>
    <w:rsid w:val="00777493"/>
    <w:rsid w:val="00787893"/>
    <w:rsid w:val="007A64F4"/>
    <w:rsid w:val="007B24C0"/>
    <w:rsid w:val="00896B1F"/>
    <w:rsid w:val="00897DFD"/>
    <w:rsid w:val="008D32A3"/>
    <w:rsid w:val="00972EE7"/>
    <w:rsid w:val="0099679B"/>
    <w:rsid w:val="009B0088"/>
    <w:rsid w:val="00A00D7B"/>
    <w:rsid w:val="00A900DA"/>
    <w:rsid w:val="00AD6C84"/>
    <w:rsid w:val="00B27DEB"/>
    <w:rsid w:val="00B37B0A"/>
    <w:rsid w:val="00B9459B"/>
    <w:rsid w:val="00CD021F"/>
    <w:rsid w:val="00D8160F"/>
    <w:rsid w:val="00D87257"/>
    <w:rsid w:val="00E10905"/>
    <w:rsid w:val="00E16EC2"/>
    <w:rsid w:val="00E70BF3"/>
    <w:rsid w:val="00E827A5"/>
    <w:rsid w:val="00EB289F"/>
    <w:rsid w:val="00EC3C87"/>
    <w:rsid w:val="00FB1CDC"/>
    <w:rsid w:val="00FD6C7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docId w15:val="{A1851BDB-A538-4CEA-A43C-EE54FADF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59B"/>
  </w:style>
  <w:style w:type="paragraph" w:styleId="Heading3">
    <w:name w:val="heading 3"/>
    <w:basedOn w:val="Normal"/>
    <w:link w:val="Heading3Char"/>
    <w:uiPriority w:val="9"/>
    <w:qFormat/>
    <w:rsid w:val="00103A0D"/>
    <w:pPr>
      <w:spacing w:before="100" w:beforeAutospacing="1" w:after="100" w:afterAutospacing="1" w:line="240" w:lineRule="auto"/>
      <w:outlineLvl w:val="2"/>
    </w:pPr>
    <w:rPr>
      <w:rFonts w:ascii="Times New Roman" w:eastAsia="Times New Roman" w:hAnsi="Times New Roman" w:cs="Times New Roman"/>
      <w:b/>
      <w:bCs/>
      <w:sz w:val="27"/>
      <w:szCs w:val="27"/>
      <w:lang w:eastAsia="hr-BA"/>
    </w:rPr>
  </w:style>
  <w:style w:type="paragraph" w:styleId="Heading4">
    <w:name w:val="heading 4"/>
    <w:basedOn w:val="Normal"/>
    <w:link w:val="Heading4Char"/>
    <w:uiPriority w:val="9"/>
    <w:qFormat/>
    <w:rsid w:val="00103A0D"/>
    <w:pPr>
      <w:spacing w:before="100" w:beforeAutospacing="1" w:after="100" w:afterAutospacing="1" w:line="240" w:lineRule="auto"/>
      <w:outlineLvl w:val="3"/>
    </w:pPr>
    <w:rPr>
      <w:rFonts w:ascii="Times New Roman" w:eastAsia="Times New Roman" w:hAnsi="Times New Roman" w:cs="Times New Roman"/>
      <w:b/>
      <w:bCs/>
      <w:sz w:val="24"/>
      <w:szCs w:val="24"/>
      <w:lang w:eastAsia="hr-B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3A0D"/>
    <w:rPr>
      <w:rFonts w:ascii="Times New Roman" w:eastAsia="Times New Roman" w:hAnsi="Times New Roman" w:cs="Times New Roman"/>
      <w:b/>
      <w:bCs/>
      <w:sz w:val="27"/>
      <w:szCs w:val="27"/>
      <w:lang w:eastAsia="hr-BA"/>
    </w:rPr>
  </w:style>
  <w:style w:type="character" w:customStyle="1" w:styleId="Heading4Char">
    <w:name w:val="Heading 4 Char"/>
    <w:basedOn w:val="DefaultParagraphFont"/>
    <w:link w:val="Heading4"/>
    <w:uiPriority w:val="9"/>
    <w:rsid w:val="00103A0D"/>
    <w:rPr>
      <w:rFonts w:ascii="Times New Roman" w:eastAsia="Times New Roman" w:hAnsi="Times New Roman" w:cs="Times New Roman"/>
      <w:b/>
      <w:bCs/>
      <w:sz w:val="24"/>
      <w:szCs w:val="24"/>
      <w:lang w:eastAsia="hr-BA"/>
    </w:rPr>
  </w:style>
  <w:style w:type="character" w:styleId="Strong">
    <w:name w:val="Strong"/>
    <w:basedOn w:val="DefaultParagraphFont"/>
    <w:uiPriority w:val="22"/>
    <w:qFormat/>
    <w:rsid w:val="00103A0D"/>
    <w:rPr>
      <w:b/>
      <w:bCs/>
    </w:rPr>
  </w:style>
  <w:style w:type="paragraph" w:styleId="NormalWeb">
    <w:name w:val="Normal (Web)"/>
    <w:basedOn w:val="Normal"/>
    <w:uiPriority w:val="99"/>
    <w:semiHidden/>
    <w:unhideWhenUsed/>
    <w:rsid w:val="00103A0D"/>
    <w:pPr>
      <w:spacing w:before="100" w:beforeAutospacing="1" w:after="100" w:afterAutospacing="1" w:line="240" w:lineRule="auto"/>
    </w:pPr>
    <w:rPr>
      <w:rFonts w:ascii="Times New Roman" w:eastAsia="Times New Roman" w:hAnsi="Times New Roman" w:cs="Times New Roman"/>
      <w:sz w:val="24"/>
      <w:szCs w:val="24"/>
      <w:lang w:eastAsia="hr-BA"/>
    </w:rPr>
  </w:style>
  <w:style w:type="paragraph" w:styleId="ListParagraph">
    <w:name w:val="List Paragraph"/>
    <w:basedOn w:val="Normal"/>
    <w:uiPriority w:val="34"/>
    <w:qFormat/>
    <w:rsid w:val="00EC3C87"/>
    <w:pPr>
      <w:ind w:left="720"/>
      <w:contextualSpacing/>
    </w:pPr>
  </w:style>
  <w:style w:type="table" w:styleId="PlainTable3">
    <w:name w:val="Plain Table 3"/>
    <w:basedOn w:val="TableNormal"/>
    <w:uiPriority w:val="43"/>
    <w:rsid w:val="00723BB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723BB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435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80907">
      <w:bodyDiv w:val="1"/>
      <w:marLeft w:val="0"/>
      <w:marRight w:val="0"/>
      <w:marTop w:val="0"/>
      <w:marBottom w:val="0"/>
      <w:divBdr>
        <w:top w:val="none" w:sz="0" w:space="0" w:color="auto"/>
        <w:left w:val="none" w:sz="0" w:space="0" w:color="auto"/>
        <w:bottom w:val="none" w:sz="0" w:space="0" w:color="auto"/>
        <w:right w:val="none" w:sz="0" w:space="0" w:color="auto"/>
      </w:divBdr>
    </w:div>
    <w:div w:id="430930702">
      <w:bodyDiv w:val="1"/>
      <w:marLeft w:val="0"/>
      <w:marRight w:val="0"/>
      <w:marTop w:val="0"/>
      <w:marBottom w:val="0"/>
      <w:divBdr>
        <w:top w:val="none" w:sz="0" w:space="0" w:color="auto"/>
        <w:left w:val="none" w:sz="0" w:space="0" w:color="auto"/>
        <w:bottom w:val="none" w:sz="0" w:space="0" w:color="auto"/>
        <w:right w:val="none" w:sz="0" w:space="0" w:color="auto"/>
      </w:divBdr>
    </w:div>
    <w:div w:id="478112230">
      <w:bodyDiv w:val="1"/>
      <w:marLeft w:val="0"/>
      <w:marRight w:val="0"/>
      <w:marTop w:val="0"/>
      <w:marBottom w:val="0"/>
      <w:divBdr>
        <w:top w:val="none" w:sz="0" w:space="0" w:color="auto"/>
        <w:left w:val="none" w:sz="0" w:space="0" w:color="auto"/>
        <w:bottom w:val="none" w:sz="0" w:space="0" w:color="auto"/>
        <w:right w:val="none" w:sz="0" w:space="0" w:color="auto"/>
      </w:divBdr>
    </w:div>
    <w:div w:id="960039505">
      <w:bodyDiv w:val="1"/>
      <w:marLeft w:val="0"/>
      <w:marRight w:val="0"/>
      <w:marTop w:val="0"/>
      <w:marBottom w:val="0"/>
      <w:divBdr>
        <w:top w:val="none" w:sz="0" w:space="0" w:color="auto"/>
        <w:left w:val="none" w:sz="0" w:space="0" w:color="auto"/>
        <w:bottom w:val="none" w:sz="0" w:space="0" w:color="auto"/>
        <w:right w:val="none" w:sz="0" w:space="0" w:color="auto"/>
      </w:divBdr>
    </w:div>
    <w:div w:id="1207524352">
      <w:bodyDiv w:val="1"/>
      <w:marLeft w:val="0"/>
      <w:marRight w:val="0"/>
      <w:marTop w:val="0"/>
      <w:marBottom w:val="0"/>
      <w:divBdr>
        <w:top w:val="none" w:sz="0" w:space="0" w:color="auto"/>
        <w:left w:val="none" w:sz="0" w:space="0" w:color="auto"/>
        <w:bottom w:val="none" w:sz="0" w:space="0" w:color="auto"/>
        <w:right w:val="none" w:sz="0" w:space="0" w:color="auto"/>
      </w:divBdr>
    </w:div>
    <w:div w:id="1223826919">
      <w:bodyDiv w:val="1"/>
      <w:marLeft w:val="0"/>
      <w:marRight w:val="0"/>
      <w:marTop w:val="0"/>
      <w:marBottom w:val="0"/>
      <w:divBdr>
        <w:top w:val="none" w:sz="0" w:space="0" w:color="auto"/>
        <w:left w:val="none" w:sz="0" w:space="0" w:color="auto"/>
        <w:bottom w:val="none" w:sz="0" w:space="0" w:color="auto"/>
        <w:right w:val="none" w:sz="0" w:space="0" w:color="auto"/>
      </w:divBdr>
    </w:div>
    <w:div w:id="1337877037">
      <w:bodyDiv w:val="1"/>
      <w:marLeft w:val="0"/>
      <w:marRight w:val="0"/>
      <w:marTop w:val="0"/>
      <w:marBottom w:val="0"/>
      <w:divBdr>
        <w:top w:val="none" w:sz="0" w:space="0" w:color="auto"/>
        <w:left w:val="none" w:sz="0" w:space="0" w:color="auto"/>
        <w:bottom w:val="none" w:sz="0" w:space="0" w:color="auto"/>
        <w:right w:val="none" w:sz="0" w:space="0" w:color="auto"/>
      </w:divBdr>
    </w:div>
    <w:div w:id="1389913752">
      <w:bodyDiv w:val="1"/>
      <w:marLeft w:val="0"/>
      <w:marRight w:val="0"/>
      <w:marTop w:val="0"/>
      <w:marBottom w:val="0"/>
      <w:divBdr>
        <w:top w:val="none" w:sz="0" w:space="0" w:color="auto"/>
        <w:left w:val="none" w:sz="0" w:space="0" w:color="auto"/>
        <w:bottom w:val="none" w:sz="0" w:space="0" w:color="auto"/>
        <w:right w:val="none" w:sz="0" w:space="0" w:color="auto"/>
      </w:divBdr>
    </w:div>
    <w:div w:id="1463308602">
      <w:bodyDiv w:val="1"/>
      <w:marLeft w:val="0"/>
      <w:marRight w:val="0"/>
      <w:marTop w:val="0"/>
      <w:marBottom w:val="0"/>
      <w:divBdr>
        <w:top w:val="none" w:sz="0" w:space="0" w:color="auto"/>
        <w:left w:val="none" w:sz="0" w:space="0" w:color="auto"/>
        <w:bottom w:val="none" w:sz="0" w:space="0" w:color="auto"/>
        <w:right w:val="none" w:sz="0" w:space="0" w:color="auto"/>
      </w:divBdr>
    </w:div>
    <w:div w:id="1496263381">
      <w:bodyDiv w:val="1"/>
      <w:marLeft w:val="0"/>
      <w:marRight w:val="0"/>
      <w:marTop w:val="0"/>
      <w:marBottom w:val="0"/>
      <w:divBdr>
        <w:top w:val="none" w:sz="0" w:space="0" w:color="auto"/>
        <w:left w:val="none" w:sz="0" w:space="0" w:color="auto"/>
        <w:bottom w:val="none" w:sz="0" w:space="0" w:color="auto"/>
        <w:right w:val="none" w:sz="0" w:space="0" w:color="auto"/>
      </w:divBdr>
    </w:div>
    <w:div w:id="1537153543">
      <w:bodyDiv w:val="1"/>
      <w:marLeft w:val="0"/>
      <w:marRight w:val="0"/>
      <w:marTop w:val="0"/>
      <w:marBottom w:val="0"/>
      <w:divBdr>
        <w:top w:val="none" w:sz="0" w:space="0" w:color="auto"/>
        <w:left w:val="none" w:sz="0" w:space="0" w:color="auto"/>
        <w:bottom w:val="none" w:sz="0" w:space="0" w:color="auto"/>
        <w:right w:val="none" w:sz="0" w:space="0" w:color="auto"/>
      </w:divBdr>
    </w:div>
    <w:div w:id="1685814311">
      <w:bodyDiv w:val="1"/>
      <w:marLeft w:val="0"/>
      <w:marRight w:val="0"/>
      <w:marTop w:val="0"/>
      <w:marBottom w:val="0"/>
      <w:divBdr>
        <w:top w:val="none" w:sz="0" w:space="0" w:color="auto"/>
        <w:left w:val="none" w:sz="0" w:space="0" w:color="auto"/>
        <w:bottom w:val="none" w:sz="0" w:space="0" w:color="auto"/>
        <w:right w:val="none" w:sz="0" w:space="0" w:color="auto"/>
      </w:divBdr>
    </w:div>
    <w:div w:id="18232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13</Pages>
  <Words>4576</Words>
  <Characters>26086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cp:lastPrinted>2025-03-05T12:41:00Z</cp:lastPrinted>
  <dcterms:created xsi:type="dcterms:W3CDTF">2025-05-13T11:38:00Z</dcterms:created>
  <dcterms:modified xsi:type="dcterms:W3CDTF">2025-05-14T09:53:00Z</dcterms:modified>
</cp:coreProperties>
</file>